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15" w:lineRule="atLeast"/>
        <w:ind w:left="0" w:firstLine="420"/>
        <w:jc w:val="center"/>
        <w:rPr>
          <w:rFonts w:hint="default" w:ascii="Times New Roman" w:hAnsi="Times New Roman" w:eastAsia="黑体" w:cs="Times New Roman"/>
          <w:b w:val="0"/>
          <w:bCs w:val="0"/>
          <w:i w:val="0"/>
          <w:iCs w:val="0"/>
          <w:caps w:val="0"/>
          <w:color w:val="000000"/>
          <w:spacing w:val="0"/>
          <w:sz w:val="32"/>
          <w:szCs w:val="32"/>
        </w:rPr>
      </w:pPr>
      <w:r>
        <w:rPr>
          <w:rFonts w:hint="eastAsia" w:ascii="Times New Roman" w:hAnsi="Times New Roman" w:eastAsia="黑体" w:cs="Times New Roman"/>
          <w:b w:val="0"/>
          <w:bCs w:val="0"/>
          <w:i w:val="0"/>
          <w:iCs w:val="0"/>
          <w:caps w:val="0"/>
          <w:color w:val="000000"/>
          <w:spacing w:val="0"/>
          <w:sz w:val="32"/>
          <w:szCs w:val="32"/>
          <w:lang w:val="en-US" w:eastAsia="zh-CN"/>
        </w:rPr>
        <w:t>城市轨道交通机电技术</w:t>
      </w:r>
      <w:r>
        <w:rPr>
          <w:rFonts w:hint="default" w:ascii="Times New Roman" w:hAnsi="Times New Roman" w:eastAsia="黑体" w:cs="Times New Roman"/>
          <w:b w:val="0"/>
          <w:bCs w:val="0"/>
          <w:i w:val="0"/>
          <w:iCs w:val="0"/>
          <w:caps w:val="0"/>
          <w:color w:val="000000"/>
          <w:spacing w:val="0"/>
          <w:sz w:val="32"/>
          <w:szCs w:val="32"/>
        </w:rPr>
        <w:t>专业调研报告</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为确保调研工作组织到位，落实到位，我</w:t>
      </w:r>
      <w:r>
        <w:rPr>
          <w:rFonts w:hint="default" w:ascii="Times New Roman" w:hAnsi="Times New Roman" w:eastAsia="宋体" w:cs="Times New Roman"/>
          <w:b w:val="0"/>
          <w:bCs w:val="0"/>
          <w:i w:val="0"/>
          <w:iCs w:val="0"/>
          <w:caps w:val="0"/>
          <w:color w:val="000000"/>
          <w:spacing w:val="0"/>
          <w:sz w:val="24"/>
          <w:szCs w:val="24"/>
          <w:lang w:val="en-US" w:eastAsia="zh-CN"/>
        </w:rPr>
        <w:t>系</w:t>
      </w:r>
      <w:r>
        <w:rPr>
          <w:rFonts w:hint="default" w:ascii="Times New Roman" w:hAnsi="Times New Roman" w:eastAsia="宋体" w:cs="Times New Roman"/>
          <w:b w:val="0"/>
          <w:bCs w:val="0"/>
          <w:i w:val="0"/>
          <w:iCs w:val="0"/>
          <w:caps w:val="0"/>
          <w:color w:val="000000"/>
          <w:spacing w:val="0"/>
          <w:sz w:val="24"/>
          <w:szCs w:val="24"/>
        </w:rPr>
        <w:t>组成了以</w:t>
      </w:r>
      <w:r>
        <w:rPr>
          <w:rFonts w:hint="default" w:ascii="Times New Roman" w:hAnsi="Times New Roman" w:eastAsia="宋体" w:cs="Times New Roman"/>
          <w:b w:val="0"/>
          <w:bCs w:val="0"/>
          <w:i w:val="0"/>
          <w:iCs w:val="0"/>
          <w:caps w:val="0"/>
          <w:color w:val="000000"/>
          <w:spacing w:val="0"/>
          <w:sz w:val="24"/>
          <w:szCs w:val="24"/>
          <w:lang w:val="en-US" w:eastAsia="zh-CN"/>
        </w:rPr>
        <w:t>系主任</w:t>
      </w:r>
      <w:r>
        <w:rPr>
          <w:rFonts w:hint="default" w:ascii="Times New Roman" w:hAnsi="Times New Roman" w:eastAsia="宋体" w:cs="Times New Roman"/>
          <w:b w:val="0"/>
          <w:bCs w:val="0"/>
          <w:i w:val="0"/>
          <w:iCs w:val="0"/>
          <w:caps w:val="0"/>
          <w:color w:val="000000"/>
          <w:spacing w:val="0"/>
          <w:sz w:val="24"/>
          <w:szCs w:val="24"/>
        </w:rPr>
        <w:t>为组长，</w:t>
      </w:r>
      <w:r>
        <w:rPr>
          <w:rFonts w:hint="default" w:ascii="Times New Roman" w:hAnsi="Times New Roman" w:eastAsia="宋体" w:cs="Times New Roman"/>
          <w:b w:val="0"/>
          <w:bCs w:val="0"/>
          <w:i w:val="0"/>
          <w:iCs w:val="0"/>
          <w:caps w:val="0"/>
          <w:color w:val="000000"/>
          <w:spacing w:val="0"/>
          <w:sz w:val="24"/>
          <w:szCs w:val="24"/>
          <w:lang w:val="en-US" w:eastAsia="zh-CN"/>
        </w:rPr>
        <w:t>副主任</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专业负责负责人</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专任教师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相关辅导员</w:t>
      </w:r>
      <w:r>
        <w:rPr>
          <w:rFonts w:hint="default" w:ascii="Times New Roman" w:hAnsi="Times New Roman" w:eastAsia="宋体" w:cs="Times New Roman"/>
          <w:b w:val="0"/>
          <w:bCs w:val="0"/>
          <w:i w:val="0"/>
          <w:iCs w:val="0"/>
          <w:caps w:val="0"/>
          <w:color w:val="000000"/>
          <w:spacing w:val="0"/>
          <w:sz w:val="24"/>
          <w:szCs w:val="24"/>
        </w:rPr>
        <w:t>教师参加的调研组，到本市及</w:t>
      </w:r>
      <w:r>
        <w:rPr>
          <w:rFonts w:hint="default" w:ascii="Times New Roman" w:hAnsi="Times New Roman" w:eastAsia="宋体" w:cs="Times New Roman"/>
          <w:b w:val="0"/>
          <w:bCs w:val="0"/>
          <w:i w:val="0"/>
          <w:iCs w:val="0"/>
          <w:caps w:val="0"/>
          <w:color w:val="000000"/>
          <w:spacing w:val="0"/>
          <w:sz w:val="24"/>
          <w:szCs w:val="24"/>
          <w:lang w:val="en-US" w:eastAsia="zh-CN"/>
        </w:rPr>
        <w:t>外市</w:t>
      </w:r>
      <w:r>
        <w:rPr>
          <w:rFonts w:hint="default" w:ascii="Times New Roman" w:hAnsi="Times New Roman" w:eastAsia="宋体" w:cs="Times New Roman"/>
          <w:b w:val="0"/>
          <w:bCs w:val="0"/>
          <w:i w:val="0"/>
          <w:iCs w:val="0"/>
          <w:caps w:val="0"/>
          <w:color w:val="000000"/>
          <w:spacing w:val="0"/>
          <w:sz w:val="24"/>
          <w:szCs w:val="24"/>
        </w:rPr>
        <w:t>相关企事业单位去实地调研考查。历时十</w:t>
      </w:r>
      <w:r>
        <w:rPr>
          <w:rFonts w:hint="eastAsia" w:ascii="Times New Roman" w:hAnsi="Times New Roman" w:eastAsia="宋体" w:cs="Times New Roman"/>
          <w:b w:val="0"/>
          <w:bCs w:val="0"/>
          <w:i w:val="0"/>
          <w:iCs w:val="0"/>
          <w:caps w:val="0"/>
          <w:color w:val="000000"/>
          <w:spacing w:val="0"/>
          <w:sz w:val="24"/>
          <w:szCs w:val="24"/>
          <w:lang w:val="en-US" w:eastAsia="zh-CN"/>
        </w:rPr>
        <w:t>四</w:t>
      </w:r>
      <w:r>
        <w:rPr>
          <w:rFonts w:hint="default" w:ascii="Times New Roman" w:hAnsi="Times New Roman" w:eastAsia="宋体" w:cs="Times New Roman"/>
          <w:b w:val="0"/>
          <w:bCs w:val="0"/>
          <w:i w:val="0"/>
          <w:iCs w:val="0"/>
          <w:caps w:val="0"/>
          <w:color w:val="000000"/>
          <w:spacing w:val="0"/>
          <w:sz w:val="24"/>
          <w:szCs w:val="24"/>
        </w:rPr>
        <w:t>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长</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员：</w:t>
      </w:r>
      <w:r>
        <w:rPr>
          <w:rFonts w:hint="eastAsia" w:ascii="Times New Roman" w:hAnsi="Times New Roman" w:eastAsia="宋体" w:cs="Times New Roman"/>
          <w:b w:val="0"/>
          <w:bCs w:val="0"/>
          <w:i w:val="0"/>
          <w:iCs w:val="0"/>
          <w:caps w:val="0"/>
          <w:color w:val="000000"/>
          <w:spacing w:val="0"/>
          <w:sz w:val="24"/>
          <w:szCs w:val="24"/>
          <w:lang w:val="en-US" w:eastAsia="zh-CN"/>
        </w:rPr>
        <w:t>颜晓卉</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郝成宇</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张建阳</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赵玉凤</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二、调研内容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（一）毕业生就业与人才需求情况分析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1.近</w:t>
      </w:r>
      <w:r>
        <w:rPr>
          <w:rFonts w:hint="eastAsia" w:ascii="Times New Roman" w:hAnsi="Times New Roman" w:eastAsia="宋体" w:cs="Times New Roman"/>
          <w:b w:val="0"/>
          <w:bCs w:val="0"/>
          <w:i w:val="0"/>
          <w:iCs w:val="0"/>
          <w:caps w:val="0"/>
          <w:color w:val="000000"/>
          <w:spacing w:val="0"/>
          <w:sz w:val="24"/>
          <w:szCs w:val="24"/>
          <w:lang w:val="en-US" w:eastAsia="zh-CN"/>
        </w:rPr>
        <w:t>三</w:t>
      </w:r>
      <w:r>
        <w:rPr>
          <w:rFonts w:hint="default" w:ascii="Times New Roman" w:hAnsi="Times New Roman" w:eastAsia="宋体" w:cs="Times New Roman"/>
          <w:b w:val="0"/>
          <w:bCs w:val="0"/>
          <w:i w:val="0"/>
          <w:iCs w:val="0"/>
          <w:caps w:val="0"/>
          <w:color w:val="000000"/>
          <w:spacing w:val="0"/>
          <w:sz w:val="24"/>
          <w:szCs w:val="24"/>
        </w:rPr>
        <w:t>年人才培养质量反馈情况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城市轨道交通机电技术</w:t>
      </w:r>
      <w:r>
        <w:rPr>
          <w:rFonts w:hint="default" w:ascii="Times New Roman" w:hAnsi="Times New Roman" w:eastAsia="宋体" w:cs="Times New Roman"/>
          <w:b w:val="0"/>
          <w:bCs w:val="0"/>
          <w:i w:val="0"/>
          <w:iCs w:val="0"/>
          <w:caps w:val="0"/>
          <w:color w:val="000000"/>
          <w:spacing w:val="0"/>
          <w:sz w:val="24"/>
          <w:szCs w:val="24"/>
          <w:lang w:val="en-US" w:eastAsia="zh-CN"/>
        </w:rPr>
        <w:t>专业毕业生就业率</w:t>
      </w:r>
      <w:r>
        <w:rPr>
          <w:rFonts w:hint="eastAsia" w:ascii="Times New Roman" w:hAnsi="Times New Roman" w:eastAsia="宋体" w:cs="Times New Roman"/>
          <w:b w:val="0"/>
          <w:bCs w:val="0"/>
          <w:i w:val="0"/>
          <w:iCs w:val="0"/>
          <w:caps w:val="0"/>
          <w:color w:val="000000"/>
          <w:spacing w:val="0"/>
          <w:sz w:val="24"/>
          <w:szCs w:val="24"/>
          <w:lang w:val="en-US" w:eastAsia="zh-CN"/>
        </w:rPr>
        <w:t>自</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eastAsia" w:ascii="Times New Roman" w:hAnsi="Times New Roman" w:eastAsia="宋体" w:cs="Times New Roman"/>
          <w:b w:val="0"/>
          <w:bCs w:val="0"/>
          <w:i w:val="0"/>
          <w:iCs w:val="0"/>
          <w:caps w:val="0"/>
          <w:color w:val="000000"/>
          <w:spacing w:val="0"/>
          <w:sz w:val="24"/>
          <w:szCs w:val="24"/>
          <w:lang w:val="en-US" w:eastAsia="zh-CN"/>
        </w:rPr>
        <w:t>21</w:t>
      </w:r>
      <w:r>
        <w:rPr>
          <w:rFonts w:hint="default" w:ascii="Times New Roman" w:hAnsi="Times New Roman" w:eastAsia="宋体" w:cs="Times New Roman"/>
          <w:b w:val="0"/>
          <w:bCs w:val="0"/>
          <w:i w:val="0"/>
          <w:iCs w:val="0"/>
          <w:caps w:val="0"/>
          <w:color w:val="000000"/>
          <w:spacing w:val="0"/>
          <w:sz w:val="24"/>
          <w:szCs w:val="24"/>
          <w:lang w:val="en-US" w:eastAsia="zh-CN"/>
        </w:rPr>
        <w:t>届至今，连续</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年保持在9</w:t>
      </w:r>
      <w:r>
        <w:rPr>
          <w:rFonts w:hint="eastAsia" w:ascii="Times New Roman" w:hAnsi="Times New Roman" w:eastAsia="宋体" w:cs="Times New Roman"/>
          <w:b w:val="0"/>
          <w:bCs w:val="0"/>
          <w:i w:val="0"/>
          <w:iCs w:val="0"/>
          <w:caps w:val="0"/>
          <w:color w:val="000000"/>
          <w:spacing w:val="0"/>
          <w:sz w:val="24"/>
          <w:szCs w:val="24"/>
          <w:lang w:val="en-US" w:eastAsia="zh-CN"/>
        </w:rPr>
        <w:t>8</w:t>
      </w:r>
      <w:r>
        <w:rPr>
          <w:rFonts w:hint="default" w:ascii="Times New Roman" w:hAnsi="Times New Roman" w:eastAsia="宋体" w:cs="Times New Roman"/>
          <w:b w:val="0"/>
          <w:bCs w:val="0"/>
          <w:i w:val="0"/>
          <w:iCs w:val="0"/>
          <w:caps w:val="0"/>
          <w:color w:val="000000"/>
          <w:spacing w:val="0"/>
          <w:sz w:val="24"/>
          <w:szCs w:val="24"/>
          <w:lang w:val="en-US" w:eastAsia="zh-CN"/>
        </w:rPr>
        <w:t>%以上；月收入在2000-4000元区间内的占毕业生总数的</w:t>
      </w:r>
      <w:r>
        <w:rPr>
          <w:rFonts w:hint="eastAsia" w:ascii="Times New Roman" w:hAnsi="Times New Roman" w:eastAsia="宋体" w:cs="Times New Roman"/>
          <w:b w:val="0"/>
          <w:bCs w:val="0"/>
          <w:i w:val="0"/>
          <w:iCs w:val="0"/>
          <w:caps w:val="0"/>
          <w:color w:val="000000"/>
          <w:spacing w:val="0"/>
          <w:sz w:val="24"/>
          <w:szCs w:val="24"/>
          <w:lang w:val="en-US" w:eastAsia="zh-CN"/>
        </w:rPr>
        <w:t>90</w:t>
      </w:r>
      <w:r>
        <w:rPr>
          <w:rFonts w:hint="default" w:ascii="Times New Roman" w:hAnsi="Times New Roman" w:eastAsia="宋体" w:cs="Times New Roman"/>
          <w:b w:val="0"/>
          <w:bCs w:val="0"/>
          <w:i w:val="0"/>
          <w:iCs w:val="0"/>
          <w:caps w:val="0"/>
          <w:color w:val="000000"/>
          <w:spacing w:val="0"/>
          <w:sz w:val="24"/>
          <w:szCs w:val="24"/>
          <w:lang w:val="en-US" w:eastAsia="zh-CN"/>
        </w:rPr>
        <w:t>%以上；</w:t>
      </w:r>
      <w:r>
        <w:rPr>
          <w:rFonts w:hint="eastAsia" w:ascii="Times New Roman" w:hAnsi="Times New Roman" w:eastAsia="宋体" w:cs="Times New Roman"/>
          <w:b w:val="0"/>
          <w:bCs w:val="0"/>
          <w:i w:val="0"/>
          <w:iCs w:val="0"/>
          <w:caps w:val="0"/>
          <w:color w:val="000000"/>
          <w:spacing w:val="0"/>
          <w:sz w:val="24"/>
          <w:szCs w:val="24"/>
          <w:lang w:val="en-US" w:eastAsia="zh-CN"/>
        </w:rPr>
        <w:t>专业对口率</w:t>
      </w:r>
      <w:r>
        <w:rPr>
          <w:rFonts w:hint="default" w:ascii="Times New Roman" w:hAnsi="Times New Roman" w:eastAsia="宋体" w:cs="Times New Roman"/>
          <w:b w:val="0"/>
          <w:bCs w:val="0"/>
          <w:i w:val="0"/>
          <w:iCs w:val="0"/>
          <w:caps w:val="0"/>
          <w:color w:val="000000"/>
          <w:spacing w:val="0"/>
          <w:sz w:val="24"/>
          <w:szCs w:val="24"/>
          <w:lang w:val="en-US" w:eastAsia="zh-CN"/>
        </w:rPr>
        <w:t>为 60%以上；对用人单位开展调研，用人单位满意度超80%，对毕业生综合素质给予了较高评价，尤为凸显的是岗位适应能力，评价毕业生</w:t>
      </w:r>
      <w:r>
        <w:rPr>
          <w:rFonts w:hint="eastAsia" w:ascii="Times New Roman" w:hAnsi="Times New Roman" w:eastAsia="宋体" w:cs="Times New Roman"/>
          <w:b w:val="0"/>
          <w:bCs w:val="0"/>
          <w:i w:val="0"/>
          <w:iCs w:val="0"/>
          <w:caps w:val="0"/>
          <w:color w:val="000000"/>
          <w:spacing w:val="0"/>
          <w:sz w:val="24"/>
          <w:szCs w:val="24"/>
          <w:lang w:val="en-US" w:eastAsia="zh-CN"/>
        </w:rPr>
        <w:t>学习能力强</w:t>
      </w:r>
      <w:r>
        <w:rPr>
          <w:rFonts w:hint="default" w:ascii="Times New Roman" w:hAnsi="Times New Roman" w:eastAsia="宋体" w:cs="Times New Roman"/>
          <w:b w:val="0"/>
          <w:bCs w:val="0"/>
          <w:i w:val="0"/>
          <w:iCs w:val="0"/>
          <w:caps w:val="0"/>
          <w:color w:val="000000"/>
          <w:spacing w:val="0"/>
          <w:sz w:val="24"/>
          <w:szCs w:val="24"/>
          <w:lang w:val="en-US" w:eastAsia="zh-CN"/>
        </w:rPr>
        <w:t>。通过反馈可知，</w:t>
      </w:r>
      <w:r>
        <w:rPr>
          <w:rFonts w:hint="default" w:ascii="Times New Roman" w:hAnsi="Times New Roman" w:eastAsia="宋体" w:cs="Times New Roman"/>
          <w:b w:val="0"/>
          <w:bCs w:val="0"/>
          <w:i w:val="0"/>
          <w:iCs w:val="0"/>
          <w:caps w:val="0"/>
          <w:color w:val="000000"/>
          <w:spacing w:val="0"/>
          <w:sz w:val="24"/>
          <w:szCs w:val="24"/>
        </w:rPr>
        <w:t>专业主要服务面向情况与专业就业主要领域定位</w:t>
      </w:r>
      <w:r>
        <w:rPr>
          <w:rFonts w:hint="default" w:ascii="Times New Roman" w:hAnsi="Times New Roman" w:eastAsia="宋体" w:cs="Times New Roman"/>
          <w:b w:val="0"/>
          <w:bCs w:val="0"/>
          <w:i w:val="0"/>
          <w:iCs w:val="0"/>
          <w:caps w:val="0"/>
          <w:color w:val="000000"/>
          <w:spacing w:val="0"/>
          <w:sz w:val="24"/>
          <w:szCs w:val="24"/>
          <w:lang w:val="en-US" w:eastAsia="zh-CN"/>
        </w:rPr>
        <w:t>基本</w:t>
      </w:r>
      <w:r>
        <w:rPr>
          <w:rFonts w:hint="default" w:ascii="Times New Roman" w:hAnsi="Times New Roman" w:eastAsia="宋体" w:cs="Times New Roman"/>
          <w:b w:val="0"/>
          <w:bCs w:val="0"/>
          <w:i w:val="0"/>
          <w:iCs w:val="0"/>
          <w:caps w:val="0"/>
          <w:color w:val="000000"/>
          <w:spacing w:val="0"/>
          <w:sz w:val="24"/>
          <w:szCs w:val="24"/>
        </w:rPr>
        <w:t>相符</w:t>
      </w:r>
      <w:r>
        <w:rPr>
          <w:rFonts w:hint="default" w:ascii="Times New Roman" w:hAnsi="Times New Roman" w:eastAsia="宋体" w:cs="Times New Roman"/>
          <w:b w:val="0"/>
          <w:bCs w:val="0"/>
          <w:i w:val="0"/>
          <w:iCs w:val="0"/>
          <w:caps w:val="0"/>
          <w:color w:val="000000"/>
          <w:spacing w:val="0"/>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2.人才需求情况分析及预测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地铁发展迅速，人才需求缺口大</w:t>
      </w:r>
      <w:r>
        <w:rPr>
          <w:rFonts w:hint="eastAsia"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快速发展中的城市轨道交通，人才短缺的矛盾日益突出。根据市场预测，目前无论是运营岗位的操作人员，还是高端管理人才和技术人才，都严重不足。以现有培训能力计算，一是新增从业人员，按经验参数值每公里线路配置至少60 人计算，202</w:t>
      </w:r>
      <w:r>
        <w:rPr>
          <w:rFonts w:hint="eastAsia" w:ascii="Times New Roman" w:hAnsi="Times New Roman" w:eastAsia="宋体" w:cs="Times New Roman"/>
          <w:b w:val="0"/>
          <w:bCs w:val="0"/>
          <w:i w:val="0"/>
          <w:iCs w:val="0"/>
          <w:caps w:val="0"/>
          <w:color w:val="000000"/>
          <w:spacing w:val="0"/>
          <w:sz w:val="24"/>
          <w:szCs w:val="24"/>
          <w:lang w:val="en-US" w:eastAsia="zh-CN"/>
        </w:rPr>
        <w:t>2</w:t>
      </w:r>
      <w:r>
        <w:rPr>
          <w:rFonts w:hint="default" w:ascii="Times New Roman" w:hAnsi="Times New Roman" w:eastAsia="宋体" w:cs="Times New Roman"/>
          <w:b w:val="0"/>
          <w:bCs w:val="0"/>
          <w:i w:val="0"/>
          <w:iCs w:val="0"/>
          <w:caps w:val="0"/>
          <w:color w:val="000000"/>
          <w:spacing w:val="0"/>
          <w:sz w:val="24"/>
          <w:szCs w:val="24"/>
        </w:rPr>
        <w:t xml:space="preserve"> 年末运营里程达到 6000公里</w:t>
      </w:r>
      <w:r>
        <w:rPr>
          <w:rFonts w:hint="eastAsia"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201</w:t>
      </w:r>
      <w:r>
        <w:rPr>
          <w:rFonts w:hint="eastAsia" w:ascii="Times New Roman" w:hAnsi="Times New Roman" w:eastAsia="宋体" w:cs="Times New Roman"/>
          <w:b w:val="0"/>
          <w:bCs w:val="0"/>
          <w:i w:val="0"/>
          <w:iCs w:val="0"/>
          <w:caps w:val="0"/>
          <w:color w:val="000000"/>
          <w:spacing w:val="0"/>
          <w:sz w:val="24"/>
          <w:szCs w:val="24"/>
          <w:lang w:val="en-US" w:eastAsia="zh-CN"/>
        </w:rPr>
        <w:t>6</w:t>
      </w:r>
      <w:r>
        <w:rPr>
          <w:rFonts w:hint="default" w:ascii="Times New Roman" w:hAnsi="Times New Roman" w:eastAsia="宋体" w:cs="Times New Roman"/>
          <w:b w:val="0"/>
          <w:bCs w:val="0"/>
          <w:i w:val="0"/>
          <w:iCs w:val="0"/>
          <w:caps w:val="0"/>
          <w:color w:val="000000"/>
          <w:spacing w:val="0"/>
          <w:sz w:val="24"/>
          <w:szCs w:val="24"/>
        </w:rPr>
        <w:t>年</w:t>
      </w:r>
      <w:r>
        <w:rPr>
          <w:rFonts w:hint="eastAsia"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202</w:t>
      </w:r>
      <w:r>
        <w:rPr>
          <w:rFonts w:hint="eastAsia" w:ascii="Times New Roman" w:hAnsi="Times New Roman" w:eastAsia="宋体" w:cs="Times New Roman"/>
          <w:b w:val="0"/>
          <w:bCs w:val="0"/>
          <w:i w:val="0"/>
          <w:iCs w:val="0"/>
          <w:caps w:val="0"/>
          <w:color w:val="000000"/>
          <w:spacing w:val="0"/>
          <w:sz w:val="24"/>
          <w:szCs w:val="24"/>
          <w:lang w:val="en-US" w:eastAsia="zh-CN"/>
        </w:rPr>
        <w:t>2</w:t>
      </w:r>
      <w:r>
        <w:rPr>
          <w:rFonts w:hint="default" w:ascii="Times New Roman" w:hAnsi="Times New Roman" w:eastAsia="宋体" w:cs="Times New Roman"/>
          <w:b w:val="0"/>
          <w:bCs w:val="0"/>
          <w:i w:val="0"/>
          <w:iCs w:val="0"/>
          <w:caps w:val="0"/>
          <w:color w:val="000000"/>
          <w:spacing w:val="0"/>
          <w:sz w:val="24"/>
          <w:szCs w:val="24"/>
        </w:rPr>
        <w:t>年7年需新增 21 万人，而教育部门仅能提供 11 万人，缺</w:t>
      </w:r>
      <w:r>
        <w:rPr>
          <w:rFonts w:hint="eastAsia" w:ascii="Times New Roman" w:hAnsi="Times New Roman" w:eastAsia="宋体" w:cs="Times New Roman"/>
          <w:b w:val="0"/>
          <w:bCs w:val="0"/>
          <w:i w:val="0"/>
          <w:iCs w:val="0"/>
          <w:caps w:val="0"/>
          <w:color w:val="000000"/>
          <w:spacing w:val="0"/>
          <w:sz w:val="24"/>
          <w:szCs w:val="24"/>
          <w:lang w:val="en-US" w:eastAsia="zh-CN"/>
        </w:rPr>
        <w:t>口</w:t>
      </w:r>
      <w:r>
        <w:rPr>
          <w:rFonts w:hint="default" w:ascii="Times New Roman" w:hAnsi="Times New Roman" w:eastAsia="宋体" w:cs="Times New Roman"/>
          <w:b w:val="0"/>
          <w:bCs w:val="0"/>
          <w:i w:val="0"/>
          <w:iCs w:val="0"/>
          <w:caps w:val="0"/>
          <w:color w:val="000000"/>
          <w:spacing w:val="0"/>
          <w:sz w:val="24"/>
          <w:szCs w:val="24"/>
        </w:rPr>
        <w:t>高达10多万人。二是针对新员工100%的上岗培训和每</w:t>
      </w:r>
      <w:r>
        <w:rPr>
          <w:rFonts w:hint="eastAsia" w:ascii="Times New Roman" w:hAnsi="Times New Roman" w:eastAsia="宋体" w:cs="Times New Roman"/>
          <w:b w:val="0"/>
          <w:bCs w:val="0"/>
          <w:i w:val="0"/>
          <w:iCs w:val="0"/>
          <w:caps w:val="0"/>
          <w:color w:val="000000"/>
          <w:spacing w:val="0"/>
          <w:sz w:val="24"/>
          <w:szCs w:val="24"/>
          <w:lang w:val="en-US" w:eastAsia="zh-CN"/>
        </w:rPr>
        <w:t>年</w:t>
      </w:r>
      <w:r>
        <w:rPr>
          <w:rFonts w:hint="default" w:ascii="Times New Roman" w:hAnsi="Times New Roman" w:eastAsia="宋体" w:cs="Times New Roman"/>
          <w:b w:val="0"/>
          <w:bCs w:val="0"/>
          <w:i w:val="0"/>
          <w:iCs w:val="0"/>
          <w:caps w:val="0"/>
          <w:color w:val="000000"/>
          <w:spacing w:val="0"/>
          <w:sz w:val="24"/>
          <w:szCs w:val="24"/>
        </w:rPr>
        <w:t>10%左右在岗人员更新培训10%左右在岗人员的技能提升培训和5%左右在岗人员的转岗培训等，201</w:t>
      </w:r>
      <w:r>
        <w:rPr>
          <w:rFonts w:hint="eastAsia" w:ascii="Times New Roman" w:hAnsi="Times New Roman" w:eastAsia="宋体" w:cs="Times New Roman"/>
          <w:b w:val="0"/>
          <w:bCs w:val="0"/>
          <w:i w:val="0"/>
          <w:iCs w:val="0"/>
          <w:caps w:val="0"/>
          <w:color w:val="000000"/>
          <w:spacing w:val="0"/>
          <w:sz w:val="24"/>
          <w:szCs w:val="24"/>
          <w:lang w:val="en-US" w:eastAsia="zh-CN"/>
        </w:rPr>
        <w:t>6</w:t>
      </w:r>
      <w:r>
        <w:rPr>
          <w:rFonts w:hint="default" w:ascii="Times New Roman" w:hAnsi="Times New Roman" w:eastAsia="宋体" w:cs="Times New Roman"/>
          <w:b w:val="0"/>
          <w:bCs w:val="0"/>
          <w:i w:val="0"/>
          <w:iCs w:val="0"/>
          <w:caps w:val="0"/>
          <w:color w:val="000000"/>
          <w:spacing w:val="0"/>
          <w:sz w:val="24"/>
          <w:szCs w:val="24"/>
        </w:rPr>
        <w:t>年一202</w:t>
      </w:r>
      <w:r>
        <w:rPr>
          <w:rFonts w:hint="eastAsia" w:ascii="Times New Roman" w:hAnsi="Times New Roman" w:eastAsia="宋体" w:cs="Times New Roman"/>
          <w:b w:val="0"/>
          <w:bCs w:val="0"/>
          <w:i w:val="0"/>
          <w:iCs w:val="0"/>
          <w:caps w:val="0"/>
          <w:color w:val="000000"/>
          <w:spacing w:val="0"/>
          <w:sz w:val="24"/>
          <w:szCs w:val="24"/>
          <w:lang w:val="en-US" w:eastAsia="zh-CN"/>
        </w:rPr>
        <w:t>2</w:t>
      </w:r>
      <w:r>
        <w:rPr>
          <w:rFonts w:hint="default" w:ascii="Times New Roman" w:hAnsi="Times New Roman" w:eastAsia="宋体" w:cs="Times New Roman"/>
          <w:b w:val="0"/>
          <w:bCs w:val="0"/>
          <w:i w:val="0"/>
          <w:iCs w:val="0"/>
          <w:caps w:val="0"/>
          <w:color w:val="000000"/>
          <w:spacing w:val="0"/>
          <w:sz w:val="24"/>
          <w:szCs w:val="24"/>
        </w:rPr>
        <w:t>年7年间需要培训65 万人，而现有培训能力仅 45 万人，缺口近 20万人。考虑到 202</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年实际运营线路里程比预期数还要多，人才缺口也将随之增加。</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bookmarkStart w:id="0" w:name="_GoBack"/>
      <w:bookmarkEnd w:id="0"/>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（二）企业行业调研情况分析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行业十四五规划建设；经济转型升级、产业结构调整等对行业有关技术技能领域提出的新要求；有关领域职业岗位设置情况及行业人才结构现状；行业技术技能人才供求状况及需求预测，特别是对高等职业教育的供求状况；专业教学标准与行业标准对接的联动机制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1）行业发展前景</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巨大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both"/>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近年来，中国地铁行业持续发展，市场规模不断扩大。根据市场调研在线网发布的2023-2029年中国上海地铁市场需求潜力及未来前景规划报告分析，20</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22</w:t>
      </w:r>
      <w:r>
        <w:rPr>
          <w:rFonts w:hint="default" w:ascii="Times New Roman" w:hAnsi="Times New Roman" w:eastAsia="宋体" w:cs="Times New Roman"/>
          <w:b w:val="0"/>
          <w:bCs w:val="0"/>
          <w:i w:val="0"/>
          <w:iCs w:val="0"/>
          <w:caps w:val="0"/>
          <w:color w:val="000000"/>
          <w:spacing w:val="0"/>
          <w:sz w:val="24"/>
          <w:szCs w:val="24"/>
          <w:highlight w:val="none"/>
        </w:rPr>
        <w:t>年中国地铁行业实现营业收入达到732.8亿元，比20</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21</w:t>
      </w:r>
      <w:r>
        <w:rPr>
          <w:rFonts w:hint="default" w:ascii="Times New Roman" w:hAnsi="Times New Roman" w:eastAsia="宋体" w:cs="Times New Roman"/>
          <w:b w:val="0"/>
          <w:bCs w:val="0"/>
          <w:i w:val="0"/>
          <w:iCs w:val="0"/>
          <w:caps w:val="0"/>
          <w:color w:val="000000"/>
          <w:spacing w:val="0"/>
          <w:sz w:val="24"/>
          <w:szCs w:val="24"/>
          <w:highlight w:val="none"/>
        </w:rPr>
        <w:t>年增长了17.4%。至20</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22</w:t>
      </w:r>
      <w:r>
        <w:rPr>
          <w:rFonts w:hint="default" w:ascii="Times New Roman" w:hAnsi="Times New Roman" w:eastAsia="宋体" w:cs="Times New Roman"/>
          <w:b w:val="0"/>
          <w:bCs w:val="0"/>
          <w:i w:val="0"/>
          <w:iCs w:val="0"/>
          <w:caps w:val="0"/>
          <w:color w:val="000000"/>
          <w:spacing w:val="0"/>
          <w:sz w:val="24"/>
          <w:szCs w:val="24"/>
          <w:highlight w:val="none"/>
        </w:rPr>
        <w:t>年中国地铁行业实现营业收入达到902.9亿元，比20</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21</w:t>
      </w:r>
      <w:r>
        <w:rPr>
          <w:rFonts w:hint="default" w:ascii="Times New Roman" w:hAnsi="Times New Roman" w:eastAsia="宋体" w:cs="Times New Roman"/>
          <w:b w:val="0"/>
          <w:bCs w:val="0"/>
          <w:i w:val="0"/>
          <w:iCs w:val="0"/>
          <w:caps w:val="0"/>
          <w:color w:val="000000"/>
          <w:spacing w:val="0"/>
          <w:sz w:val="24"/>
          <w:szCs w:val="24"/>
          <w:highlight w:val="none"/>
        </w:rPr>
        <w:t>年增长了23.4%。</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智能化前景发展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随着技术的不断发展，中国地铁行业未来发展趋势也将发生变化。首先，随着物联网、大数根据市场调研在线网发布的2023-2029年中国上海地铁市场需求潜力及未来前景规划报告分析，地铁行业将实现智慧化运营。其次，人工智能技术将被广泛应用于地铁行业，以实现自动制动、自动控制、自动避让等功能，提升地铁运营安全性。此外，随着5G技术的发展，地铁行业将实现更快的上网速度满足消费者对网络的需求。最后，随着政府大力支持，地铁行业将实现全面改造以达到更高的运营效率</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rPr>
        <w:t>2.企业调研</w:t>
      </w:r>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outlineLvl w:val="9"/>
        <w:rPr>
          <w:rFonts w:hint="eastAsia"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在面向行业企业需求的调研中，重点调研城市轨道交通设备应用以及国产化现状和发展方向</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城市轨道交通设备技术与应用专业面向岗位的职业能力需求变化</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实际工作中所需的理论知识与实作技能的变化，听取行业企业对本专营脊业步知识、能力、素质等方面的需求情况，以及对人才培养方案的意见和建议</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37" w:firstLineChars="224"/>
        <w:textAlignment w:val="auto"/>
        <w:outlineLvl w:val="9"/>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调研结果显示随着城市轨道交通技术的创新及交通设备国产化的推进，未来10年行业相关企业对城市轨道交通机电技术相关人才需求量十分庞大。各地铁公司都需要大量的技术技能人员担任机电设备安装、调试、维护、运行与管理，对应的岗位为城市轨道交通机电检修工、环控调度员、自动化工程师、AFC检修工。</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三、现行培养方案分析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（一）毕业要求与培养目标契合度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城市轨道交通机电技术</w:t>
      </w:r>
      <w:r>
        <w:rPr>
          <w:rFonts w:hint="default" w:ascii="Times New Roman" w:hAnsi="Times New Roman" w:eastAsia="宋体" w:cs="Times New Roman"/>
          <w:b w:val="0"/>
          <w:bCs w:val="0"/>
          <w:i w:val="0"/>
          <w:iCs w:val="0"/>
          <w:caps w:val="0"/>
          <w:color w:val="000000"/>
          <w:spacing w:val="0"/>
          <w:sz w:val="24"/>
          <w:szCs w:val="24"/>
        </w:rPr>
        <w:t>专业</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rPr>
        <w:t>人才培养方向和定位</w:t>
      </w:r>
      <w:r>
        <w:rPr>
          <w:rFonts w:hint="default" w:ascii="Times New Roman" w:hAnsi="Times New Roman" w:eastAsia="宋体" w:cs="Times New Roman"/>
          <w:b w:val="0"/>
          <w:bCs w:val="0"/>
          <w:i w:val="0"/>
          <w:iCs w:val="0"/>
          <w:caps w:val="0"/>
          <w:color w:val="000000"/>
          <w:spacing w:val="0"/>
          <w:sz w:val="24"/>
          <w:szCs w:val="24"/>
          <w:lang w:val="en-US" w:eastAsia="zh-CN"/>
        </w:rPr>
        <w:t>基本与毕业要求吻合</w:t>
      </w:r>
      <w:r>
        <w:rPr>
          <w:rFonts w:hint="default" w:ascii="Times New Roman" w:hAnsi="Times New Roman" w:eastAsia="宋体" w:cs="Times New Roman"/>
          <w:b w:val="0"/>
          <w:bCs w:val="0"/>
          <w:i w:val="0"/>
          <w:iCs w:val="0"/>
          <w:caps w:val="0"/>
          <w:color w:val="000000"/>
          <w:spacing w:val="0"/>
          <w:sz w:val="24"/>
          <w:szCs w:val="24"/>
        </w:rPr>
        <w:t>。具体表述为：“培养德、智、体、美、劳全面发展，具有良好职业道德和人文素养，掌握</w:t>
      </w:r>
      <w:r>
        <w:rPr>
          <w:rFonts w:hint="eastAsia" w:ascii="Times New Roman" w:hAnsi="Times New Roman" w:eastAsia="宋体" w:cs="Times New Roman"/>
          <w:b w:val="0"/>
          <w:bCs w:val="0"/>
          <w:i w:val="0"/>
          <w:iCs w:val="0"/>
          <w:caps w:val="0"/>
          <w:color w:val="000000"/>
          <w:spacing w:val="0"/>
          <w:sz w:val="24"/>
          <w:szCs w:val="24"/>
          <w:lang w:val="en-US" w:eastAsia="zh-CN"/>
        </w:rPr>
        <w:t>城轨自动化设备、供电系统设备</w:t>
      </w:r>
      <w:r>
        <w:rPr>
          <w:rFonts w:hint="default" w:ascii="Times New Roman" w:hAnsi="Times New Roman" w:eastAsia="宋体" w:cs="Times New Roman"/>
          <w:b w:val="0"/>
          <w:bCs w:val="0"/>
          <w:i w:val="0"/>
          <w:iCs w:val="0"/>
          <w:caps w:val="0"/>
          <w:color w:val="000000"/>
          <w:spacing w:val="0"/>
          <w:sz w:val="24"/>
          <w:szCs w:val="24"/>
        </w:rPr>
        <w:t>等基本知识，具备</w:t>
      </w:r>
      <w:r>
        <w:rPr>
          <w:rFonts w:hint="eastAsia" w:ascii="Times New Roman" w:hAnsi="Times New Roman" w:eastAsia="宋体" w:cs="Times New Roman"/>
          <w:b w:val="0"/>
          <w:bCs w:val="0"/>
          <w:i w:val="0"/>
          <w:iCs w:val="0"/>
          <w:caps w:val="0"/>
          <w:color w:val="000000"/>
          <w:spacing w:val="0"/>
          <w:sz w:val="24"/>
          <w:szCs w:val="24"/>
          <w:lang w:val="en-US" w:eastAsia="zh-CN"/>
        </w:rPr>
        <w:t>设备检修</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故障</w:t>
      </w:r>
      <w:r>
        <w:rPr>
          <w:rFonts w:hint="default" w:ascii="Times New Roman" w:hAnsi="Times New Roman" w:eastAsia="宋体" w:cs="Times New Roman"/>
          <w:b w:val="0"/>
          <w:bCs w:val="0"/>
          <w:i w:val="0"/>
          <w:iCs w:val="0"/>
          <w:caps w:val="0"/>
          <w:color w:val="000000"/>
          <w:spacing w:val="0"/>
          <w:sz w:val="24"/>
          <w:szCs w:val="24"/>
        </w:rPr>
        <w:t>检测等能力，从事</w:t>
      </w:r>
      <w:r>
        <w:rPr>
          <w:rFonts w:hint="eastAsia" w:ascii="Times New Roman" w:hAnsi="Times New Roman" w:eastAsia="宋体" w:cs="Times New Roman"/>
          <w:b w:val="0"/>
          <w:bCs w:val="0"/>
          <w:i w:val="0"/>
          <w:iCs w:val="0"/>
          <w:caps w:val="0"/>
          <w:color w:val="000000"/>
          <w:spacing w:val="0"/>
          <w:sz w:val="24"/>
          <w:szCs w:val="24"/>
          <w:lang w:val="en-US" w:eastAsia="zh-CN"/>
        </w:rPr>
        <w:t>专业</w:t>
      </w:r>
      <w:r>
        <w:rPr>
          <w:rFonts w:hint="default" w:ascii="Times New Roman" w:hAnsi="Times New Roman" w:eastAsia="宋体" w:cs="Times New Roman"/>
          <w:b w:val="0"/>
          <w:bCs w:val="0"/>
          <w:i w:val="0"/>
          <w:iCs w:val="0"/>
          <w:caps w:val="0"/>
          <w:color w:val="000000"/>
          <w:spacing w:val="0"/>
          <w:sz w:val="24"/>
          <w:szCs w:val="24"/>
        </w:rPr>
        <w:t>技术管理、生产巡检、</w:t>
      </w:r>
      <w:r>
        <w:rPr>
          <w:rFonts w:hint="eastAsia" w:ascii="Times New Roman" w:hAnsi="Times New Roman" w:eastAsia="宋体" w:cs="Times New Roman"/>
          <w:b w:val="0"/>
          <w:bCs w:val="0"/>
          <w:i w:val="0"/>
          <w:iCs w:val="0"/>
          <w:caps w:val="0"/>
          <w:color w:val="000000"/>
          <w:spacing w:val="0"/>
          <w:sz w:val="24"/>
          <w:szCs w:val="24"/>
          <w:lang w:val="en-US" w:eastAsia="zh-CN"/>
        </w:rPr>
        <w:t>设备</w:t>
      </w:r>
      <w:r>
        <w:rPr>
          <w:rFonts w:hint="default" w:ascii="Times New Roman" w:hAnsi="Times New Roman" w:eastAsia="宋体" w:cs="Times New Roman"/>
          <w:b w:val="0"/>
          <w:bCs w:val="0"/>
          <w:i w:val="0"/>
          <w:iCs w:val="0"/>
          <w:caps w:val="0"/>
          <w:color w:val="000000"/>
          <w:spacing w:val="0"/>
          <w:sz w:val="24"/>
          <w:szCs w:val="24"/>
        </w:rPr>
        <w:t>操作、</w:t>
      </w:r>
      <w:r>
        <w:rPr>
          <w:rFonts w:hint="eastAsia" w:ascii="Times New Roman" w:hAnsi="Times New Roman" w:eastAsia="宋体" w:cs="Times New Roman"/>
          <w:b w:val="0"/>
          <w:bCs w:val="0"/>
          <w:i w:val="0"/>
          <w:iCs w:val="0"/>
          <w:caps w:val="0"/>
          <w:color w:val="000000"/>
          <w:spacing w:val="0"/>
          <w:sz w:val="24"/>
          <w:szCs w:val="24"/>
          <w:lang w:val="en-US" w:eastAsia="zh-CN"/>
        </w:rPr>
        <w:t>设备维护与检修</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val="en-US" w:eastAsia="zh-CN"/>
        </w:rPr>
        <w:t>设备</w:t>
      </w:r>
      <w:r>
        <w:rPr>
          <w:rFonts w:hint="default" w:ascii="Times New Roman" w:hAnsi="Times New Roman" w:eastAsia="宋体" w:cs="Times New Roman"/>
          <w:b w:val="0"/>
          <w:bCs w:val="0"/>
          <w:i w:val="0"/>
          <w:iCs w:val="0"/>
          <w:caps w:val="0"/>
          <w:color w:val="000000"/>
          <w:spacing w:val="0"/>
          <w:sz w:val="24"/>
          <w:szCs w:val="24"/>
        </w:rPr>
        <w:t>售后服务等工作的高素质复合型技术技能人才。”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（二）课程体系与毕业要求的契合度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城市轨道交通机电技术</w:t>
      </w:r>
      <w:r>
        <w:rPr>
          <w:rFonts w:hint="default" w:ascii="Times New Roman" w:hAnsi="Times New Roman" w:eastAsia="宋体" w:cs="Times New Roman"/>
          <w:b w:val="0"/>
          <w:bCs w:val="0"/>
          <w:i w:val="0"/>
          <w:iCs w:val="0"/>
          <w:caps w:val="0"/>
          <w:color w:val="000000"/>
          <w:spacing w:val="0"/>
          <w:sz w:val="24"/>
          <w:szCs w:val="24"/>
        </w:rPr>
        <w:t>专业现有</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default" w:ascii="Times New Roman" w:hAnsi="Times New Roman" w:eastAsia="宋体" w:cs="Times New Roman"/>
          <w:b w:val="0"/>
          <w:bCs w:val="0"/>
          <w:i w:val="0"/>
          <w:iCs w:val="0"/>
          <w:caps w:val="0"/>
          <w:color w:val="000000"/>
          <w:spacing w:val="0"/>
          <w:sz w:val="24"/>
          <w:szCs w:val="24"/>
        </w:rPr>
        <w:t>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通过调查，结果显示</w:t>
      </w:r>
      <w:r>
        <w:rPr>
          <w:rFonts w:hint="eastAsia" w:ascii="Times New Roman" w:hAnsi="Times New Roman" w:eastAsia="宋体" w:cs="Times New Roman"/>
          <w:b w:val="0"/>
          <w:bCs w:val="0"/>
          <w:i w:val="0"/>
          <w:iCs w:val="0"/>
          <w:caps w:val="0"/>
          <w:color w:val="000000"/>
          <w:spacing w:val="0"/>
          <w:sz w:val="24"/>
          <w:szCs w:val="24"/>
          <w:lang w:val="en-US" w:eastAsia="zh-CN"/>
        </w:rPr>
        <w:t>城市轨道交通机电技术</w:t>
      </w:r>
      <w:r>
        <w:rPr>
          <w:rFonts w:hint="default" w:ascii="Times New Roman" w:hAnsi="Times New Roman" w:eastAsia="宋体" w:cs="Times New Roman"/>
          <w:b w:val="0"/>
          <w:bCs w:val="0"/>
          <w:i w:val="0"/>
          <w:iCs w:val="0"/>
          <w:caps w:val="0"/>
          <w:color w:val="000000"/>
          <w:spacing w:val="0"/>
          <w:sz w:val="24"/>
          <w:szCs w:val="24"/>
        </w:rPr>
        <w:t>专业现有的课程教学环节都需要开设，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w:t>
      </w:r>
      <w:r>
        <w:rPr>
          <w:rFonts w:hint="eastAsia" w:ascii="Times New Roman" w:hAnsi="Times New Roman" w:eastAsia="宋体" w:cs="Times New Roman"/>
          <w:b w:val="0"/>
          <w:bCs w:val="0"/>
          <w:i w:val="0"/>
          <w:iCs w:val="0"/>
          <w:caps w:val="0"/>
          <w:color w:val="000000"/>
          <w:spacing w:val="0"/>
          <w:sz w:val="24"/>
          <w:szCs w:val="24"/>
          <w:lang w:val="en-US" w:eastAsia="zh-CN"/>
        </w:rPr>
        <w:t>三</w:t>
      </w:r>
      <w:r>
        <w:rPr>
          <w:rFonts w:hint="default" w:ascii="Times New Roman" w:hAnsi="Times New Roman" w:eastAsia="宋体" w:cs="Times New Roman"/>
          <w:b w:val="0"/>
          <w:bCs w:val="0"/>
          <w:i w:val="0"/>
          <w:iCs w:val="0"/>
          <w:caps w:val="0"/>
          <w:color w:val="000000"/>
          <w:spacing w:val="0"/>
          <w:sz w:val="24"/>
          <w:szCs w:val="24"/>
        </w:rPr>
        <w:t>位的依次是：</w:t>
      </w:r>
      <w:r>
        <w:rPr>
          <w:rFonts w:hint="eastAsia" w:ascii="Times New Roman" w:hAnsi="Times New Roman" w:eastAsia="宋体" w:cs="Times New Roman"/>
          <w:b w:val="0"/>
          <w:bCs w:val="0"/>
          <w:i w:val="0"/>
          <w:iCs w:val="0"/>
          <w:caps w:val="0"/>
          <w:color w:val="000000"/>
          <w:spacing w:val="0"/>
          <w:sz w:val="24"/>
          <w:szCs w:val="24"/>
          <w:lang w:val="en-US" w:eastAsia="zh-CN"/>
        </w:rPr>
        <w:t>城市轨道交通车站设备、城市轨道交通供电系统、城市轨道交通应急处理等</w:t>
      </w:r>
      <w:r>
        <w:rPr>
          <w:rFonts w:hint="default" w:ascii="Times New Roman" w:hAnsi="Times New Roman" w:eastAsia="宋体" w:cs="Times New Roman"/>
          <w:b w:val="0"/>
          <w:bCs w:val="0"/>
          <w:i w:val="0"/>
          <w:iCs w:val="0"/>
          <w:caps w:val="0"/>
          <w:color w:val="000000"/>
          <w:spacing w:val="0"/>
          <w:sz w:val="24"/>
          <w:szCs w:val="24"/>
        </w:rPr>
        <w:t>专业核心课和重要的教学管理过程。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（三）人才培养方案的规范性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建筑材料工程技术专业形象人才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numPr>
          <w:ilvl w:val="0"/>
          <w:numId w:val="1"/>
        </w:num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调研结果显示，2016年以来很多职业院校都开办了城市轨道交通机电技术专业，该专业的开设能够为城市轨道交通设备提供专业技术技能型人才，能够在</w:t>
      </w:r>
      <w:r>
        <w:rPr>
          <w:rFonts w:hint="eastAsia" w:ascii="Times New Roman" w:hAnsi="Times New Roman" w:eastAsia="宋体" w:cs="Times New Roman"/>
          <w:b w:val="0"/>
          <w:bCs w:val="0"/>
          <w:i w:val="0"/>
          <w:iCs w:val="0"/>
          <w:caps w:val="0"/>
          <w:color w:val="000000"/>
          <w:spacing w:val="0"/>
          <w:sz w:val="24"/>
          <w:szCs w:val="24"/>
          <w:lang w:val="en-US" w:eastAsia="zh-CN"/>
        </w:rPr>
        <w:t>一</w:t>
      </w:r>
      <w:r>
        <w:rPr>
          <w:rFonts w:hint="default" w:ascii="Times New Roman" w:hAnsi="Times New Roman" w:eastAsia="宋体" w:cs="Times New Roman"/>
          <w:b w:val="0"/>
          <w:bCs w:val="0"/>
          <w:i w:val="0"/>
          <w:iCs w:val="0"/>
          <w:caps w:val="0"/>
          <w:color w:val="000000"/>
          <w:spacing w:val="0"/>
          <w:sz w:val="24"/>
          <w:szCs w:val="24"/>
        </w:rPr>
        <w:t>定程度上弥补综合技术技能型人才的短缺。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城市轨道交通行业内院校根据城市轨道技术发展及运营的需求，根据资深办学特点，开设城市轨道交通机电技术专业，服务于行业企业，解决</w:t>
      </w:r>
      <w:r>
        <w:rPr>
          <w:rFonts w:hint="eastAsia" w:ascii="Times New Roman" w:hAnsi="Times New Roman" w:eastAsia="宋体" w:cs="Times New Roman"/>
          <w:b w:val="0"/>
          <w:bCs w:val="0"/>
          <w:i w:val="0"/>
          <w:iCs w:val="0"/>
          <w:caps w:val="0"/>
          <w:color w:val="000000"/>
          <w:spacing w:val="0"/>
          <w:sz w:val="24"/>
          <w:szCs w:val="24"/>
          <w:lang w:val="en-US" w:eastAsia="zh-CN"/>
        </w:rPr>
        <w:t>了</w:t>
      </w:r>
      <w:r>
        <w:rPr>
          <w:rFonts w:hint="default" w:ascii="Times New Roman" w:hAnsi="Times New Roman" w:eastAsia="宋体" w:cs="Times New Roman"/>
          <w:b w:val="0"/>
          <w:bCs w:val="0"/>
          <w:i w:val="0"/>
          <w:iCs w:val="0"/>
          <w:caps w:val="0"/>
          <w:color w:val="000000"/>
          <w:spacing w:val="0"/>
          <w:sz w:val="24"/>
          <w:szCs w:val="24"/>
        </w:rPr>
        <w:t>人才短缺问题，为行业经济发展助力。并在专业建设、教材编写、课程开发等方面开展合作，使该专业的建设更加科学、合理。</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五、调研结论及对策建议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（一）培养方案修订的思路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spacing w:line="560" w:lineRule="exact"/>
        <w:ind w:firstLine="480" w:firstLineChars="200"/>
        <w:jc w:val="left"/>
        <w:rPr>
          <w:rFonts w:hint="eastAsia" w:ascii="宋体" w:hAnsi="宋体" w:cs="宋体"/>
          <w:sz w:val="24"/>
        </w:rPr>
      </w:pPr>
      <w:r>
        <w:rPr>
          <w:rFonts w:hint="eastAsia" w:ascii="宋体" w:hAnsi="宋体" w:cs="宋体"/>
          <w:sz w:val="24"/>
        </w:rPr>
        <w:t>本专业培养德、智、体、美、劳全面发展，具有良好职业道德和人文素养，掌握列车自动控制技术、城市轨道交通网络技术、连锁系统运行与维护等基本知识，具备低压动力系统、照明系统、环控系统、给排水及消防系统、自动售检票系统、自动（电）扶梯、安全门系统的运行、维修、保养、安装与调试能力，</w:t>
      </w:r>
      <w:r>
        <w:rPr>
          <w:rFonts w:hint="eastAsia" w:ascii="宋体" w:hAnsi="宋体" w:cs="宋体"/>
          <w:sz w:val="24"/>
          <w:lang w:val="en-US" w:eastAsia="zh-CN"/>
        </w:rPr>
        <w:t>并且</w:t>
      </w:r>
      <w:r>
        <w:rPr>
          <w:rFonts w:hint="eastAsia" w:ascii="宋体" w:hAnsi="宋体" w:eastAsia="宋体" w:cs="宋体"/>
          <w:sz w:val="24"/>
        </w:rPr>
        <w:t>主动服务环渤海、“中国智造2025”、一带一路、京津冀协同发展、雄安新区建设等国家战略和河北省发展需要，定位于应用型</w:t>
      </w:r>
      <w:r>
        <w:rPr>
          <w:rFonts w:hint="eastAsia" w:ascii="宋体" w:hAnsi="宋体" w:eastAsia="宋体" w:cs="宋体"/>
          <w:sz w:val="24"/>
          <w:lang w:eastAsia="zh-CN"/>
        </w:rPr>
        <w:t>高职，</w:t>
      </w:r>
      <w:r>
        <w:rPr>
          <w:rFonts w:hint="eastAsia" w:ascii="宋体" w:hAnsi="宋体" w:cs="宋体"/>
          <w:sz w:val="24"/>
        </w:rPr>
        <w:t>从事城市轨道交通机电设备运行与管理等工作的高素质复合型技术技能人才。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学生通过3年的学习，修满专业人才培养方案所规定的</w:t>
      </w:r>
      <w:r>
        <w:rPr>
          <w:rFonts w:hint="eastAsia" w:ascii="Times New Roman" w:hAnsi="Times New Roman" w:eastAsia="宋体" w:cs="Times New Roman"/>
          <w:b w:val="0"/>
          <w:bCs w:val="0"/>
          <w:i w:val="0"/>
          <w:iCs w:val="0"/>
          <w:caps w:val="0"/>
          <w:color w:val="000000"/>
          <w:spacing w:val="0"/>
          <w:sz w:val="24"/>
          <w:szCs w:val="24"/>
          <w:lang w:val="en-US" w:eastAsia="zh-CN"/>
        </w:rPr>
        <w:t>165.5</w:t>
      </w:r>
      <w:r>
        <w:rPr>
          <w:rFonts w:hint="default" w:ascii="Times New Roman" w:hAnsi="Times New Roman" w:eastAsia="宋体" w:cs="Times New Roman"/>
          <w:b w:val="0"/>
          <w:bCs w:val="0"/>
          <w:i w:val="0"/>
          <w:iCs w:val="0"/>
          <w:caps w:val="0"/>
          <w:color w:val="000000"/>
          <w:spacing w:val="0"/>
          <w:sz w:val="24"/>
          <w:szCs w:val="24"/>
          <w:lang w:val="en-US" w:eastAsia="zh-CN"/>
        </w:rPr>
        <w:t>学分，达到本专业人才培养目标和培养规格的要求。鼓励应运用大数据等信息化手段记录、分析学生成长记录档案、职业素养达标等方面的内容，纳入综合素质考核，并将考核情况作为是否准予毕业的重要依据。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课程安排</w:t>
      </w:r>
    </w:p>
    <w:tbl>
      <w:tblPr>
        <w:tblStyle w:val="6"/>
        <w:tblW w:w="5003" w:type="pct"/>
        <w:tblInd w:w="0" w:type="dxa"/>
        <w:tblLayout w:type="autofit"/>
        <w:tblCellMar>
          <w:top w:w="0" w:type="dxa"/>
          <w:left w:w="0" w:type="dxa"/>
          <w:bottom w:w="0" w:type="dxa"/>
          <w:right w:w="0" w:type="dxa"/>
        </w:tblCellMar>
      </w:tblPr>
      <w:tblGrid>
        <w:gridCol w:w="1068"/>
        <w:gridCol w:w="755"/>
        <w:gridCol w:w="1170"/>
        <w:gridCol w:w="1058"/>
        <w:gridCol w:w="5603"/>
      </w:tblGrid>
      <w:tr>
        <w:tblPrEx>
          <w:tblCellMar>
            <w:top w:w="0" w:type="dxa"/>
            <w:left w:w="0" w:type="dxa"/>
            <w:bottom w:w="0" w:type="dxa"/>
            <w:right w:w="0" w:type="dxa"/>
          </w:tblCellMar>
        </w:tblPrEx>
        <w:trPr>
          <w:trHeight w:val="79" w:hRule="atLeast"/>
        </w:trPr>
        <w:tc>
          <w:tcPr>
            <w:tcW w:w="10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分类</w:t>
            </w: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序号</w:t>
            </w:r>
          </w:p>
        </w:tc>
        <w:tc>
          <w:tcPr>
            <w:tcW w:w="1169"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课程模块</w:t>
            </w:r>
          </w:p>
        </w:tc>
        <w:tc>
          <w:tcPr>
            <w:tcW w:w="10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课程性质</w:t>
            </w: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课程名称</w:t>
            </w:r>
          </w:p>
        </w:tc>
      </w:tr>
      <w:tr>
        <w:tblPrEx>
          <w:tblCellMar>
            <w:top w:w="0" w:type="dxa"/>
            <w:left w:w="0" w:type="dxa"/>
            <w:bottom w:w="0" w:type="dxa"/>
            <w:right w:w="0" w:type="dxa"/>
          </w:tblCellMar>
        </w:tblPrEx>
        <w:trPr>
          <w:trHeight w:val="79" w:hRule="atLeast"/>
        </w:trPr>
        <w:tc>
          <w:tcPr>
            <w:tcW w:w="106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公共基础课</w:t>
            </w: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1</w:t>
            </w:r>
          </w:p>
        </w:tc>
        <w:tc>
          <w:tcPr>
            <w:tcW w:w="116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政治素养</w:t>
            </w:r>
          </w:p>
        </w:tc>
        <w:tc>
          <w:tcPr>
            <w:tcW w:w="1057"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必修课</w:t>
            </w:r>
          </w:p>
        </w:tc>
        <w:tc>
          <w:tcPr>
            <w:tcW w:w="559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入学教育及军训</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2</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军事理论</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3</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形势与政策</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4</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思想道德与法治</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5</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毛泽东思想和中国特色社会主义理论体系概论</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lang w:val="en-US" w:eastAsia="zh-CN"/>
              </w:rPr>
              <w:t>6</w:t>
            </w:r>
          </w:p>
        </w:tc>
        <w:tc>
          <w:tcPr>
            <w:tcW w:w="116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lang w:val="en-US" w:eastAsia="zh-CN"/>
              </w:rPr>
              <w:t>习近平新时代中国特色社会主义思想</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lang w:val="en-US" w:eastAsia="zh-CN"/>
              </w:rPr>
              <w:t>7</w:t>
            </w:r>
          </w:p>
        </w:tc>
        <w:tc>
          <w:tcPr>
            <w:tcW w:w="11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文化修养</w:t>
            </w: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高等数学</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lang w:val="en-US" w:eastAsia="zh-CN"/>
              </w:rPr>
              <w:t>8</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大学英语</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lang w:val="en-US" w:eastAsia="zh-CN"/>
              </w:rPr>
              <w:t>9</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大学体育</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10</w:t>
            </w:r>
          </w:p>
        </w:tc>
        <w:tc>
          <w:tcPr>
            <w:tcW w:w="116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人文素养</w:t>
            </w: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心理健康指导</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11</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kern w:val="0"/>
                <w:sz w:val="18"/>
                <w:szCs w:val="18"/>
                <w:lang w:eastAsia="zh-CN"/>
              </w:rPr>
            </w:pPr>
            <w:r>
              <w:rPr>
                <w:rFonts w:hint="eastAsia" w:ascii="宋体" w:hAnsi="宋体" w:cs="宋体"/>
                <w:color w:val="000000"/>
                <w:kern w:val="0"/>
                <w:sz w:val="18"/>
                <w:szCs w:val="18"/>
              </w:rPr>
              <w:t>大学生礼仪规范</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12</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人文素质修养</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13</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安全教育</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14</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国学</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15</w:t>
            </w:r>
          </w:p>
        </w:tc>
        <w:tc>
          <w:tcPr>
            <w:tcW w:w="116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劳动教育</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16</w:t>
            </w:r>
          </w:p>
        </w:tc>
        <w:tc>
          <w:tcPr>
            <w:tcW w:w="11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职业素养</w:t>
            </w: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信息技术</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17</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应用文写作</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18</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职业发展与就业指导</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19</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创新创业就业教育</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20</w:t>
            </w:r>
          </w:p>
        </w:tc>
        <w:tc>
          <w:tcPr>
            <w:tcW w:w="116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综合素养</w:t>
            </w:r>
          </w:p>
        </w:tc>
        <w:tc>
          <w:tcPr>
            <w:tcW w:w="1057"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公共选修课</w:t>
            </w: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中国优秀传统文化类（选1）</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21</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美育类（包含人工智能）（选1）</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22</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党史国史类（选1）</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lang w:val="en-US" w:eastAsia="zh-CN"/>
              </w:rPr>
              <w:t>23</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劳动素质类（选1）</w:t>
            </w:r>
          </w:p>
        </w:tc>
      </w:tr>
      <w:tr>
        <w:tblPrEx>
          <w:tblCellMar>
            <w:top w:w="0" w:type="dxa"/>
            <w:left w:w="0" w:type="dxa"/>
            <w:bottom w:w="0" w:type="dxa"/>
            <w:right w:w="0" w:type="dxa"/>
          </w:tblCellMar>
        </w:tblPrEx>
        <w:trPr>
          <w:trHeight w:val="79" w:hRule="atLeast"/>
        </w:trPr>
        <w:tc>
          <w:tcPr>
            <w:tcW w:w="106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专业（技能）课</w:t>
            </w: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1</w:t>
            </w:r>
          </w:p>
        </w:tc>
        <w:tc>
          <w:tcPr>
            <w:tcW w:w="1169"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专业（群）通识课</w:t>
            </w:r>
          </w:p>
        </w:tc>
        <w:tc>
          <w:tcPr>
            <w:tcW w:w="1057"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r>
              <w:rPr>
                <w:rFonts w:hint="eastAsia" w:ascii="宋体" w:hAnsi="宋体" w:cs="宋体"/>
                <w:kern w:val="0"/>
                <w:sz w:val="18"/>
                <w:szCs w:val="18"/>
              </w:rPr>
              <w:t>必修课</w:t>
            </w: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城市轨道交通概论</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2</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电工电子基础</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3</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城市轨道交通车站设备</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4</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城市轨道交通通信与信号</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5</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城市轨道交通安全管理</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6</w:t>
            </w:r>
          </w:p>
        </w:tc>
        <w:tc>
          <w:tcPr>
            <w:tcW w:w="1169" w:type="dxa"/>
            <w:vMerge w:val="restart"/>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专业（群）核心课</w:t>
            </w: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城市轨道交通自动售检票系统</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r>
              <w:rPr>
                <w:rFonts w:hint="eastAsia" w:ascii="宋体" w:hAnsi="宋体" w:cs="宋体"/>
                <w:kern w:val="0"/>
                <w:sz w:val="18"/>
                <w:szCs w:val="18"/>
              </w:rPr>
              <w:t>7</w:t>
            </w:r>
          </w:p>
        </w:tc>
        <w:tc>
          <w:tcPr>
            <w:tcW w:w="1169"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城市轨道交通环控系统检修</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8</w:t>
            </w:r>
          </w:p>
        </w:tc>
        <w:tc>
          <w:tcPr>
            <w:tcW w:w="1169" w:type="dxa"/>
            <w:vMerge w:val="continue"/>
            <w:tcBorders>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工厂电气控制技术</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9</w:t>
            </w:r>
          </w:p>
        </w:tc>
        <w:tc>
          <w:tcPr>
            <w:tcW w:w="116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lang w:eastAsia="zh-CN"/>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城市轨道交通供电系统</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10</w:t>
            </w:r>
          </w:p>
        </w:tc>
        <w:tc>
          <w:tcPr>
            <w:tcW w:w="116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城市轨道交通列车运行控制系统</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11</w:t>
            </w:r>
          </w:p>
        </w:tc>
        <w:tc>
          <w:tcPr>
            <w:tcW w:w="116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城市轨道交通电梯系统运行与维护</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12</w:t>
            </w:r>
          </w:p>
        </w:tc>
        <w:tc>
          <w:tcPr>
            <w:tcW w:w="116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PLC应用技术</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13</w:t>
            </w:r>
          </w:p>
        </w:tc>
        <w:tc>
          <w:tcPr>
            <w:tcW w:w="1169"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kern w:val="0"/>
                <w:sz w:val="18"/>
                <w:szCs w:val="18"/>
              </w:rPr>
            </w:pPr>
            <w:r>
              <w:rPr>
                <w:rFonts w:hint="eastAsia" w:ascii="宋体" w:hAnsi="宋体" w:cs="宋体"/>
                <w:kern w:val="0"/>
                <w:sz w:val="18"/>
                <w:szCs w:val="18"/>
              </w:rPr>
              <w:t>专业（群）拓展课</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kern w:val="0"/>
                <w:sz w:val="18"/>
                <w:szCs w:val="18"/>
              </w:rPr>
            </w:pP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restart"/>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限定选修课</w:t>
            </w: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机械制图</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14</w:t>
            </w:r>
          </w:p>
        </w:tc>
        <w:tc>
          <w:tcPr>
            <w:tcW w:w="1169"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轨道交通应急处理</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15</w:t>
            </w:r>
          </w:p>
        </w:tc>
        <w:tc>
          <w:tcPr>
            <w:tcW w:w="1169"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城市轨道交通专业英语</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16</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105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lang w:eastAsia="zh-CN"/>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城市轨道交通规划</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17</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城市轨道交通企业管理</w:t>
            </w:r>
          </w:p>
        </w:tc>
      </w:tr>
      <w:tr>
        <w:tblPrEx>
          <w:tblCellMar>
            <w:top w:w="0" w:type="dxa"/>
            <w:left w:w="0" w:type="dxa"/>
            <w:bottom w:w="0" w:type="dxa"/>
            <w:right w:w="0" w:type="dxa"/>
          </w:tblCellMar>
        </w:tblPrEx>
        <w:trPr>
          <w:trHeight w:val="79" w:hRule="atLeast"/>
        </w:trPr>
        <w:tc>
          <w:tcPr>
            <w:tcW w:w="106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毕业环节</w:t>
            </w: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　</w:t>
            </w:r>
          </w:p>
        </w:tc>
        <w:tc>
          <w:tcPr>
            <w:tcW w:w="105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必修课</w:t>
            </w: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color w:val="000000"/>
                <w:kern w:val="0"/>
                <w:sz w:val="18"/>
                <w:szCs w:val="18"/>
              </w:rPr>
              <w:t>毕业设计&lt;论文&gt;环节</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2</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　</w:t>
            </w:r>
          </w:p>
        </w:tc>
        <w:tc>
          <w:tcPr>
            <w:tcW w:w="105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color w:val="000000"/>
                <w:kern w:val="0"/>
                <w:sz w:val="18"/>
                <w:szCs w:val="18"/>
              </w:rPr>
              <w:t>岗位实习</w:t>
            </w:r>
          </w:p>
        </w:tc>
      </w:tr>
      <w:tr>
        <w:tblPrEx>
          <w:tblCellMar>
            <w:top w:w="0" w:type="dxa"/>
            <w:left w:w="0" w:type="dxa"/>
            <w:bottom w:w="0" w:type="dxa"/>
            <w:right w:w="0" w:type="dxa"/>
          </w:tblCellMar>
        </w:tblPrEx>
        <w:trPr>
          <w:trHeight w:val="79" w:hRule="atLeast"/>
        </w:trPr>
        <w:tc>
          <w:tcPr>
            <w:tcW w:w="106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第二课堂</w:t>
            </w:r>
          </w:p>
        </w:tc>
        <w:tc>
          <w:tcPr>
            <w:tcW w:w="75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1</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社会实践拓展　</w:t>
            </w:r>
          </w:p>
        </w:tc>
        <w:tc>
          <w:tcPr>
            <w:tcW w:w="105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必修课</w:t>
            </w:r>
          </w:p>
        </w:tc>
        <w:tc>
          <w:tcPr>
            <w:tcW w:w="559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专业认识实习</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3</w:t>
            </w:r>
          </w:p>
        </w:tc>
        <w:tc>
          <w:tcPr>
            <w:tcW w:w="1169"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kern w:val="0"/>
                <w:sz w:val="18"/>
                <w:szCs w:val="18"/>
              </w:rPr>
            </w:pPr>
            <w:r>
              <w:rPr>
                <w:rFonts w:hint="eastAsia" w:ascii="宋体" w:hAnsi="宋体" w:cs="宋体"/>
                <w:kern w:val="0"/>
                <w:sz w:val="18"/>
                <w:szCs w:val="18"/>
              </w:rPr>
              <w:t>综合素质拓展</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restar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cs="宋体"/>
                <w:kern w:val="0"/>
                <w:sz w:val="18"/>
                <w:szCs w:val="18"/>
              </w:rPr>
            </w:pPr>
            <w:r>
              <w:rPr>
                <w:rFonts w:hint="eastAsia" w:ascii="宋体" w:hAnsi="宋体" w:cs="宋体"/>
                <w:kern w:val="0"/>
                <w:sz w:val="18"/>
                <w:szCs w:val="18"/>
              </w:rPr>
              <w:t>选修课</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kern w:val="0"/>
                <w:sz w:val="18"/>
                <w:szCs w:val="18"/>
                <w:lang w:eastAsia="zh-CN"/>
              </w:rPr>
            </w:pPr>
            <w:r>
              <w:rPr>
                <w:rFonts w:hint="eastAsia" w:ascii="宋体" w:hAnsi="宋体" w:cs="宋体"/>
                <w:color w:val="000000"/>
                <w:sz w:val="18"/>
                <w:szCs w:val="18"/>
              </w:rPr>
              <w:t>科研活动</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75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4</w:t>
            </w:r>
          </w:p>
        </w:tc>
        <w:tc>
          <w:tcPr>
            <w:tcW w:w="1169" w:type="dxa"/>
            <w:vMerge w:val="continue"/>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continue"/>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559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kern w:val="0"/>
                <w:sz w:val="18"/>
                <w:szCs w:val="18"/>
              </w:rPr>
            </w:pPr>
            <w:r>
              <w:rPr>
                <w:rFonts w:hint="eastAsia" w:ascii="宋体" w:hAnsi="宋体" w:cs="宋体"/>
                <w:kern w:val="0"/>
                <w:sz w:val="18"/>
                <w:szCs w:val="18"/>
              </w:rPr>
              <w:t>专业技能大赛</w:t>
            </w:r>
          </w:p>
        </w:tc>
      </w:tr>
      <w:tr>
        <w:tblPrEx>
          <w:tblCellMar>
            <w:top w:w="0" w:type="dxa"/>
            <w:left w:w="0" w:type="dxa"/>
            <w:bottom w:w="0" w:type="dxa"/>
            <w:right w:w="0" w:type="dxa"/>
          </w:tblCellMar>
        </w:tblPrEx>
        <w:trPr>
          <w:trHeight w:val="79" w:hRule="atLeast"/>
        </w:trPr>
        <w:tc>
          <w:tcPr>
            <w:tcW w:w="1067"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kern w:val="0"/>
                <w:sz w:val="18"/>
                <w:szCs w:val="18"/>
              </w:rPr>
              <w:t>5</w:t>
            </w:r>
          </w:p>
        </w:tc>
        <w:tc>
          <w:tcPr>
            <w:tcW w:w="116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105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rPr>
            </w:pPr>
            <w:r>
              <w:rPr>
                <w:rFonts w:hint="eastAsia" w:ascii="宋体" w:hAnsi="宋体" w:cs="宋体"/>
                <w:color w:val="000000"/>
                <w:sz w:val="18"/>
                <w:szCs w:val="18"/>
              </w:rPr>
              <w:t>群众性文体竞赛</w:t>
            </w:r>
          </w:p>
        </w:tc>
      </w:tr>
      <w:tr>
        <w:tblPrEx>
          <w:tblCellMar>
            <w:top w:w="0" w:type="dxa"/>
            <w:left w:w="0" w:type="dxa"/>
            <w:bottom w:w="0" w:type="dxa"/>
            <w:right w:w="0" w:type="dxa"/>
          </w:tblCellMar>
        </w:tblPrEx>
        <w:trPr>
          <w:trHeight w:val="79" w:hRule="atLeast"/>
        </w:trPr>
        <w:tc>
          <w:tcPr>
            <w:tcW w:w="106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6</w:t>
            </w:r>
          </w:p>
        </w:tc>
        <w:tc>
          <w:tcPr>
            <w:tcW w:w="1169"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0"/>
                <w:sz w:val="18"/>
                <w:szCs w:val="18"/>
                <w:lang w:val="en-US" w:eastAsia="zh-CN" w:bidi="ar-SA"/>
              </w:rPr>
            </w:pPr>
          </w:p>
        </w:tc>
        <w:tc>
          <w:tcPr>
            <w:tcW w:w="1057" w:type="dxa"/>
            <w:vMerge w:val="continue"/>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kern w:val="0"/>
                <w:sz w:val="18"/>
                <w:szCs w:val="18"/>
                <w:lang w:val="en-US" w:eastAsia="zh-CN" w:bidi="ar-SA"/>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color w:val="000000"/>
                <w:sz w:val="18"/>
                <w:szCs w:val="18"/>
              </w:rPr>
              <w:t>论文或作品发表</w:t>
            </w:r>
          </w:p>
        </w:tc>
      </w:tr>
      <w:tr>
        <w:tblPrEx>
          <w:tblCellMar>
            <w:top w:w="0" w:type="dxa"/>
            <w:left w:w="0" w:type="dxa"/>
            <w:bottom w:w="0" w:type="dxa"/>
            <w:right w:w="0" w:type="dxa"/>
          </w:tblCellMar>
        </w:tblPrEx>
        <w:trPr>
          <w:trHeight w:val="79" w:hRule="atLeast"/>
        </w:trPr>
        <w:tc>
          <w:tcPr>
            <w:tcW w:w="106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bidi="ar-SA"/>
              </w:rPr>
            </w:pPr>
            <w:r>
              <w:rPr>
                <w:rFonts w:hint="eastAsia" w:ascii="宋体" w:hAnsi="宋体" w:cs="宋体"/>
                <w:kern w:val="0"/>
                <w:sz w:val="18"/>
                <w:szCs w:val="18"/>
              </w:rPr>
              <w:t>7</w:t>
            </w:r>
          </w:p>
        </w:tc>
        <w:tc>
          <w:tcPr>
            <w:tcW w:w="116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p>
        </w:tc>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color w:val="000000"/>
                <w:sz w:val="18"/>
                <w:szCs w:val="18"/>
              </w:rPr>
              <w:t>专利发明</w:t>
            </w:r>
          </w:p>
        </w:tc>
      </w:tr>
      <w:tr>
        <w:tblPrEx>
          <w:tblCellMar>
            <w:top w:w="0" w:type="dxa"/>
            <w:left w:w="0" w:type="dxa"/>
            <w:bottom w:w="0" w:type="dxa"/>
            <w:right w:w="0" w:type="dxa"/>
          </w:tblCellMar>
        </w:tblPrEx>
        <w:trPr>
          <w:trHeight w:val="79" w:hRule="atLeast"/>
        </w:trPr>
        <w:tc>
          <w:tcPr>
            <w:tcW w:w="106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kern w:val="0"/>
                <w:sz w:val="18"/>
                <w:szCs w:val="18"/>
              </w:rPr>
              <w:t>8</w:t>
            </w:r>
          </w:p>
        </w:tc>
        <w:tc>
          <w:tcPr>
            <w:tcW w:w="116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p>
        </w:tc>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color w:val="000000"/>
                <w:sz w:val="18"/>
                <w:szCs w:val="18"/>
              </w:rPr>
              <w:t>社团活动</w:t>
            </w:r>
          </w:p>
        </w:tc>
      </w:tr>
      <w:tr>
        <w:tblPrEx>
          <w:tblCellMar>
            <w:top w:w="0" w:type="dxa"/>
            <w:left w:w="0" w:type="dxa"/>
            <w:bottom w:w="0" w:type="dxa"/>
            <w:right w:w="0" w:type="dxa"/>
          </w:tblCellMar>
        </w:tblPrEx>
        <w:trPr>
          <w:trHeight w:val="79" w:hRule="atLeast"/>
        </w:trPr>
        <w:tc>
          <w:tcPr>
            <w:tcW w:w="1067"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kern w:val="0"/>
                <w:sz w:val="18"/>
                <w:szCs w:val="18"/>
              </w:rPr>
              <w:t>9</w:t>
            </w:r>
          </w:p>
        </w:tc>
        <w:tc>
          <w:tcPr>
            <w:tcW w:w="1169"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p>
        </w:tc>
        <w:tc>
          <w:tcPr>
            <w:tcW w:w="1057"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color w:val="000000"/>
                <w:sz w:val="18"/>
                <w:szCs w:val="18"/>
              </w:rPr>
              <w:t>等级考试</w:t>
            </w:r>
          </w:p>
        </w:tc>
      </w:tr>
      <w:tr>
        <w:tblPrEx>
          <w:tblCellMar>
            <w:top w:w="0" w:type="dxa"/>
            <w:left w:w="0" w:type="dxa"/>
            <w:bottom w:w="0" w:type="dxa"/>
            <w:right w:w="0" w:type="dxa"/>
          </w:tblCellMar>
        </w:tblPrEx>
        <w:trPr>
          <w:trHeight w:val="79" w:hRule="atLeast"/>
        </w:trPr>
        <w:tc>
          <w:tcPr>
            <w:tcW w:w="1067"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75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kern w:val="0"/>
                <w:sz w:val="18"/>
                <w:szCs w:val="18"/>
              </w:rPr>
              <w:t>10</w:t>
            </w:r>
          </w:p>
        </w:tc>
        <w:tc>
          <w:tcPr>
            <w:tcW w:w="1169"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val="en-US" w:eastAsia="zh-CN"/>
              </w:rPr>
            </w:pPr>
          </w:p>
        </w:tc>
        <w:tc>
          <w:tcPr>
            <w:tcW w:w="1057"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kern w:val="0"/>
                <w:sz w:val="18"/>
                <w:szCs w:val="18"/>
                <w:lang w:eastAsia="zh-CN"/>
              </w:rPr>
            </w:pPr>
          </w:p>
        </w:tc>
        <w:tc>
          <w:tcPr>
            <w:tcW w:w="5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kern w:val="0"/>
                <w:sz w:val="18"/>
                <w:szCs w:val="18"/>
                <w:lang w:val="en-US" w:eastAsia="zh-CN" w:bidi="ar-SA"/>
              </w:rPr>
            </w:pPr>
            <w:r>
              <w:rPr>
                <w:rFonts w:hint="eastAsia" w:ascii="宋体" w:hAnsi="宋体" w:cs="宋体"/>
                <w:color w:val="000000"/>
                <w:sz w:val="18"/>
                <w:szCs w:val="18"/>
              </w:rPr>
              <w:t>资格证书</w:t>
            </w:r>
          </w:p>
        </w:tc>
      </w:tr>
    </w:tbl>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（二）对本专业202</w:t>
      </w: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级人才培养方案编制的建议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现有人才培养方案在城市轨道交通机电技术专业教学标准的指导下，开设了</w:t>
      </w:r>
      <w:r>
        <w:rPr>
          <w:rFonts w:hint="eastAsia" w:ascii="Times New Roman" w:hAnsi="Times New Roman" w:cs="Times New Roman"/>
          <w:lang w:val="en-US" w:eastAsia="zh-CN"/>
        </w:rPr>
        <w:t>多</w:t>
      </w:r>
      <w:r>
        <w:rPr>
          <w:rFonts w:hint="default" w:ascii="Times New Roman" w:hAnsi="Times New Roman" w:cs="Times New Roman"/>
        </w:rPr>
        <w:t>门核心课程，针对城轨机电检修工岗位培养学生的核心技能，基本能满足行业发展趋势，课程内容的设计也符合城轨机电技术和设备的发展历程。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针对岗位需求方面，通过调研分析，还需在以下几点改进: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在城市轨道交通技术的创新及交通设备国产化的推进的背景下，城市轨道交通机电技术专业的毕业生除掌握城轨机电设备设备调试、维护等技能外还需掌握部分信号设备、AFC 设备调试、维护的技能，以及掌握环控调度的运行与维护管理技能;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在城轨交通行业相关上下游行业用人单位对轨道交通有关职位的需求很大的背景下，城市轨道交通机电技术专业的毕业生需要掌握地铁、城轨车站机电设备设计、生产、检验以及现场设备装调管理等知识和技能:进行车站机电设备相关的设计、生产、检验、现场设备装调管理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针对以上岗位需求，为培养更全面的城市轨道交通机电技术技能人才，需在人才培养方案中修订专业选修课程和实训课程。</w:t>
      </w:r>
    </w:p>
    <w:sectPr>
      <w:headerReference r:id="rId3" w:type="default"/>
      <w:footerReference r:id="rId4" w:type="default"/>
      <w:pgSz w:w="11906" w:h="16838"/>
      <w:pgMar w:top="1134"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83B07"/>
    <w:multiLevelType w:val="singleLevel"/>
    <w:tmpl w:val="89883B0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MzcxMGIwNGUwNjUzY2YwNTRkZGEyOTE1OTNiMmQifQ=="/>
  </w:docVars>
  <w:rsids>
    <w:rsidRoot w:val="00000000"/>
    <w:rsid w:val="03C14F43"/>
    <w:rsid w:val="0CD5020A"/>
    <w:rsid w:val="0DA12CDB"/>
    <w:rsid w:val="155467B9"/>
    <w:rsid w:val="1B4257FA"/>
    <w:rsid w:val="1DE21116"/>
    <w:rsid w:val="24417A2E"/>
    <w:rsid w:val="255A0F8D"/>
    <w:rsid w:val="272A0E33"/>
    <w:rsid w:val="273E0FAF"/>
    <w:rsid w:val="2A7E7D22"/>
    <w:rsid w:val="2DF93C93"/>
    <w:rsid w:val="363A43BD"/>
    <w:rsid w:val="3798060A"/>
    <w:rsid w:val="386A081F"/>
    <w:rsid w:val="3B3E0985"/>
    <w:rsid w:val="3EAA6BBA"/>
    <w:rsid w:val="459B4F7E"/>
    <w:rsid w:val="45DD5596"/>
    <w:rsid w:val="48CF2A68"/>
    <w:rsid w:val="50CE50A6"/>
    <w:rsid w:val="58BE1B34"/>
    <w:rsid w:val="5AA65046"/>
    <w:rsid w:val="5C4D1F4E"/>
    <w:rsid w:val="5E7F4A0E"/>
    <w:rsid w:val="6A16753B"/>
    <w:rsid w:val="6F835874"/>
    <w:rsid w:val="75297849"/>
    <w:rsid w:val="7A041C5F"/>
    <w:rsid w:val="7A1146C7"/>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49"/>
      <w:ind w:left="220" w:right="357" w:firstLine="479"/>
    </w:pPr>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3659</Words>
  <Characters>3828</Characters>
  <Lines>0</Lines>
  <Paragraphs>0</Paragraphs>
  <TotalTime>5</TotalTime>
  <ScaleCrop>false</ScaleCrop>
  <LinksUpToDate>false</LinksUpToDate>
  <CharactersWithSpaces>3849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Administrator</cp:lastModifiedBy>
  <cp:lastPrinted>2023-05-30T07:23:31Z</cp:lastPrinted>
  <dcterms:modified xsi:type="dcterms:W3CDTF">2023-05-30T07:24:18Z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604C0B4AAA654A4A97961FB0C18A82B2_13</vt:lpwstr>
  </property>
</Properties>
</file>