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pacing w:line="315" w:lineRule="atLeast"/>
        <w:ind w:left="0" w:firstLine="420"/>
        <w:jc w:val="center"/>
        <w:rPr>
          <w:rFonts w:hint="default" w:ascii="Times New Roman" w:hAnsi="Times New Roman" w:eastAsia="黑体" w:cs="Times New Roman"/>
          <w:b w:val="0"/>
          <w:bCs w:val="0"/>
          <w:i w:val="0"/>
          <w:iCs w:val="0"/>
          <w:caps w:val="0"/>
          <w:color w:val="000000"/>
          <w:spacing w:val="0"/>
          <w:sz w:val="32"/>
          <w:szCs w:val="32"/>
        </w:rPr>
      </w:pPr>
      <w:r>
        <w:rPr>
          <w:rFonts w:hint="eastAsia" w:ascii="Times New Roman" w:hAnsi="Times New Roman" w:eastAsia="黑体" w:cs="Times New Roman"/>
          <w:b w:val="0"/>
          <w:bCs w:val="0"/>
          <w:i w:val="0"/>
          <w:iCs w:val="0"/>
          <w:caps w:val="0"/>
          <w:color w:val="000000"/>
          <w:spacing w:val="0"/>
          <w:sz w:val="32"/>
          <w:szCs w:val="32"/>
          <w:lang w:val="en-US" w:eastAsia="zh-CN"/>
        </w:rPr>
        <w:t>城市轨道交通</w:t>
      </w:r>
      <w:r>
        <w:rPr>
          <w:rFonts w:hint="default" w:ascii="Times New Roman" w:hAnsi="Times New Roman" w:eastAsia="黑体" w:cs="Times New Roman"/>
          <w:b w:val="0"/>
          <w:bCs w:val="0"/>
          <w:i w:val="0"/>
          <w:iCs w:val="0"/>
          <w:caps w:val="0"/>
          <w:color w:val="000000"/>
          <w:spacing w:val="0"/>
          <w:sz w:val="32"/>
          <w:szCs w:val="32"/>
          <w:lang w:val="en-US" w:eastAsia="zh-CN"/>
        </w:rPr>
        <w:t>工程</w:t>
      </w:r>
      <w:r>
        <w:rPr>
          <w:rFonts w:hint="eastAsia" w:ascii="Times New Roman" w:hAnsi="Times New Roman" w:eastAsia="黑体" w:cs="Times New Roman"/>
          <w:b w:val="0"/>
          <w:bCs w:val="0"/>
          <w:i w:val="0"/>
          <w:iCs w:val="0"/>
          <w:caps w:val="0"/>
          <w:color w:val="000000"/>
          <w:spacing w:val="0"/>
          <w:sz w:val="32"/>
          <w:szCs w:val="32"/>
          <w:lang w:val="en-US" w:eastAsia="zh-CN"/>
        </w:rPr>
        <w:t>技术</w:t>
      </w:r>
      <w:r>
        <w:rPr>
          <w:rFonts w:hint="default" w:ascii="Times New Roman" w:hAnsi="Times New Roman" w:eastAsia="黑体" w:cs="Times New Roman"/>
          <w:b w:val="0"/>
          <w:bCs w:val="0"/>
          <w:i w:val="0"/>
          <w:iCs w:val="0"/>
          <w:caps w:val="0"/>
          <w:color w:val="000000"/>
          <w:spacing w:val="0"/>
          <w:sz w:val="32"/>
          <w:szCs w:val="32"/>
        </w:rPr>
        <w:t>专业调研报告</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一、调研工作组织与开展情况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为确保调研工作组织到位，落实到位，我</w:t>
      </w:r>
      <w:r>
        <w:rPr>
          <w:rFonts w:hint="default" w:ascii="Times New Roman" w:hAnsi="Times New Roman" w:eastAsia="宋体" w:cs="Times New Roman"/>
          <w:b w:val="0"/>
          <w:bCs w:val="0"/>
          <w:i w:val="0"/>
          <w:iCs w:val="0"/>
          <w:caps w:val="0"/>
          <w:color w:val="000000"/>
          <w:spacing w:val="0"/>
          <w:sz w:val="24"/>
          <w:szCs w:val="24"/>
          <w:lang w:val="en-US" w:eastAsia="zh-CN"/>
        </w:rPr>
        <w:t>系</w:t>
      </w:r>
      <w:r>
        <w:rPr>
          <w:rFonts w:hint="default" w:ascii="Times New Roman" w:hAnsi="Times New Roman" w:eastAsia="宋体" w:cs="Times New Roman"/>
          <w:b w:val="0"/>
          <w:bCs w:val="0"/>
          <w:i w:val="0"/>
          <w:iCs w:val="0"/>
          <w:caps w:val="0"/>
          <w:color w:val="000000"/>
          <w:spacing w:val="0"/>
          <w:sz w:val="24"/>
          <w:szCs w:val="24"/>
        </w:rPr>
        <w:t>组成了以</w:t>
      </w:r>
      <w:r>
        <w:rPr>
          <w:rFonts w:hint="default" w:ascii="Times New Roman" w:hAnsi="Times New Roman" w:eastAsia="宋体" w:cs="Times New Roman"/>
          <w:b w:val="0"/>
          <w:bCs w:val="0"/>
          <w:i w:val="0"/>
          <w:iCs w:val="0"/>
          <w:caps w:val="0"/>
          <w:color w:val="000000"/>
          <w:spacing w:val="0"/>
          <w:sz w:val="24"/>
          <w:szCs w:val="24"/>
          <w:lang w:val="en-US" w:eastAsia="zh-CN"/>
        </w:rPr>
        <w:t>系主任</w:t>
      </w:r>
      <w:r>
        <w:rPr>
          <w:rFonts w:hint="default" w:ascii="Times New Roman" w:hAnsi="Times New Roman" w:eastAsia="宋体" w:cs="Times New Roman"/>
          <w:b w:val="0"/>
          <w:bCs w:val="0"/>
          <w:i w:val="0"/>
          <w:iCs w:val="0"/>
          <w:caps w:val="0"/>
          <w:color w:val="000000"/>
          <w:spacing w:val="0"/>
          <w:sz w:val="24"/>
          <w:szCs w:val="24"/>
        </w:rPr>
        <w:t>为组长，</w:t>
      </w:r>
      <w:r>
        <w:rPr>
          <w:rFonts w:hint="default" w:ascii="Times New Roman" w:hAnsi="Times New Roman" w:eastAsia="宋体" w:cs="Times New Roman"/>
          <w:b w:val="0"/>
          <w:bCs w:val="0"/>
          <w:i w:val="0"/>
          <w:iCs w:val="0"/>
          <w:caps w:val="0"/>
          <w:color w:val="000000"/>
          <w:spacing w:val="0"/>
          <w:sz w:val="24"/>
          <w:szCs w:val="24"/>
          <w:lang w:val="en-US" w:eastAsia="zh-CN"/>
        </w:rPr>
        <w:t>副主任</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专业负责负责人</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专任教师</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相关辅导员</w:t>
      </w:r>
      <w:r>
        <w:rPr>
          <w:rFonts w:hint="default" w:ascii="Times New Roman" w:hAnsi="Times New Roman" w:eastAsia="宋体" w:cs="Times New Roman"/>
          <w:b w:val="0"/>
          <w:bCs w:val="0"/>
          <w:i w:val="0"/>
          <w:iCs w:val="0"/>
          <w:caps w:val="0"/>
          <w:color w:val="000000"/>
          <w:spacing w:val="0"/>
          <w:sz w:val="24"/>
          <w:szCs w:val="24"/>
        </w:rPr>
        <w:t>教师参加的调研组，到本市及</w:t>
      </w:r>
      <w:r>
        <w:rPr>
          <w:rFonts w:hint="default" w:ascii="Times New Roman" w:hAnsi="Times New Roman" w:eastAsia="宋体" w:cs="Times New Roman"/>
          <w:b w:val="0"/>
          <w:bCs w:val="0"/>
          <w:i w:val="0"/>
          <w:iCs w:val="0"/>
          <w:caps w:val="0"/>
          <w:color w:val="000000"/>
          <w:spacing w:val="0"/>
          <w:sz w:val="24"/>
          <w:szCs w:val="24"/>
          <w:lang w:val="en-US" w:eastAsia="zh-CN"/>
        </w:rPr>
        <w:t>外市</w:t>
      </w:r>
      <w:r>
        <w:rPr>
          <w:rFonts w:hint="default" w:ascii="Times New Roman" w:hAnsi="Times New Roman" w:eastAsia="宋体" w:cs="Times New Roman"/>
          <w:b w:val="0"/>
          <w:bCs w:val="0"/>
          <w:i w:val="0"/>
          <w:iCs w:val="0"/>
          <w:caps w:val="0"/>
          <w:color w:val="000000"/>
          <w:spacing w:val="0"/>
          <w:sz w:val="24"/>
          <w:szCs w:val="24"/>
        </w:rPr>
        <w:t>相关企事业单位去实地调研考查。历时十三天，为调研报告的形成获得了第一手的资料，具体分工如下：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eastAsia="zh-CN"/>
        </w:rPr>
      </w:pPr>
      <w:r>
        <w:rPr>
          <w:rFonts w:hint="default" w:ascii="Times New Roman" w:hAnsi="Times New Roman" w:eastAsia="宋体" w:cs="Times New Roman"/>
          <w:b w:val="0"/>
          <w:bCs w:val="0"/>
          <w:i w:val="0"/>
          <w:iCs w:val="0"/>
          <w:caps w:val="0"/>
          <w:color w:val="000000"/>
          <w:spacing w:val="0"/>
          <w:sz w:val="24"/>
          <w:szCs w:val="24"/>
        </w:rPr>
        <w:t>组</w:t>
      </w:r>
      <w:r>
        <w:rPr>
          <w:rFonts w:hint="default" w:ascii="Times New Roman" w:hAnsi="Times New Roman" w:eastAsia="宋体" w:cs="Times New Roman"/>
          <w:b w:val="0"/>
          <w:bCs w:val="0"/>
          <w:i w:val="0"/>
          <w:iCs w:val="0"/>
          <w:caps w:val="0"/>
          <w:color w:val="000000"/>
          <w:spacing w:val="0"/>
          <w:sz w:val="24"/>
          <w:szCs w:val="24"/>
          <w:lang w:val="en-US" w:eastAsia="zh-CN"/>
        </w:rPr>
        <w:t xml:space="preserve">  </w:t>
      </w:r>
      <w:r>
        <w:rPr>
          <w:rFonts w:hint="default" w:ascii="Times New Roman" w:hAnsi="Times New Roman" w:eastAsia="宋体" w:cs="Times New Roman"/>
          <w:b w:val="0"/>
          <w:bCs w:val="0"/>
          <w:i w:val="0"/>
          <w:iCs w:val="0"/>
          <w:caps w:val="0"/>
          <w:color w:val="000000"/>
          <w:spacing w:val="0"/>
          <w:sz w:val="24"/>
          <w:szCs w:val="24"/>
        </w:rPr>
        <w:t>长</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lang w:val="en-US" w:eastAsia="zh-CN"/>
        </w:rPr>
        <w:t>刘青山</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副组长：王胜国</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eastAsia="zh-CN"/>
        </w:rPr>
      </w:pPr>
      <w:r>
        <w:rPr>
          <w:rFonts w:hint="default" w:ascii="Times New Roman" w:hAnsi="Times New Roman" w:eastAsia="宋体" w:cs="Times New Roman"/>
          <w:b w:val="0"/>
          <w:bCs w:val="0"/>
          <w:i w:val="0"/>
          <w:iCs w:val="0"/>
          <w:caps w:val="0"/>
          <w:color w:val="000000"/>
          <w:spacing w:val="0"/>
          <w:sz w:val="24"/>
          <w:szCs w:val="24"/>
        </w:rPr>
        <w:t>组</w:t>
      </w:r>
      <w:r>
        <w:rPr>
          <w:rFonts w:hint="default" w:ascii="Times New Roman" w:hAnsi="Times New Roman" w:eastAsia="宋体" w:cs="Times New Roman"/>
          <w:b w:val="0"/>
          <w:bCs w:val="0"/>
          <w:i w:val="0"/>
          <w:iCs w:val="0"/>
          <w:caps w:val="0"/>
          <w:color w:val="000000"/>
          <w:spacing w:val="0"/>
          <w:sz w:val="24"/>
          <w:szCs w:val="24"/>
          <w:lang w:val="en-US" w:eastAsia="zh-CN"/>
        </w:rPr>
        <w:t xml:space="preserve">  </w:t>
      </w:r>
      <w:r>
        <w:rPr>
          <w:rFonts w:hint="default" w:ascii="Times New Roman" w:hAnsi="Times New Roman" w:eastAsia="宋体" w:cs="Times New Roman"/>
          <w:b w:val="0"/>
          <w:bCs w:val="0"/>
          <w:i w:val="0"/>
          <w:iCs w:val="0"/>
          <w:caps w:val="0"/>
          <w:color w:val="000000"/>
          <w:spacing w:val="0"/>
          <w:sz w:val="24"/>
          <w:szCs w:val="24"/>
        </w:rPr>
        <w:t>员：</w:t>
      </w:r>
      <w:r>
        <w:rPr>
          <w:rFonts w:hint="default" w:ascii="Times New Roman" w:hAnsi="Times New Roman" w:eastAsia="宋体" w:cs="Times New Roman"/>
          <w:b w:val="0"/>
          <w:bCs w:val="0"/>
          <w:i w:val="0"/>
          <w:iCs w:val="0"/>
          <w:caps w:val="0"/>
          <w:color w:val="000000"/>
          <w:spacing w:val="0"/>
          <w:sz w:val="24"/>
          <w:szCs w:val="24"/>
          <w:lang w:val="en-US" w:eastAsia="zh-CN"/>
        </w:rPr>
        <w:t>许鹏</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孙立婧</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谢艳荣</w:t>
      </w:r>
      <w:r>
        <w:rPr>
          <w:rFonts w:hint="default" w:ascii="Times New Roman" w:hAnsi="Times New Roman" w:eastAsia="宋体" w:cs="Times New Roman"/>
          <w:b w:val="0"/>
          <w:bCs w:val="0"/>
          <w:i w:val="0"/>
          <w:iCs w:val="0"/>
          <w:caps w:val="0"/>
          <w:color w:val="000000"/>
          <w:spacing w:val="0"/>
          <w:sz w:val="24"/>
          <w:szCs w:val="24"/>
        </w:rPr>
        <w:t>、</w:t>
      </w:r>
      <w:r>
        <w:rPr>
          <w:rFonts w:hint="default" w:ascii="Times New Roman" w:hAnsi="Times New Roman" w:eastAsia="宋体" w:cs="Times New Roman"/>
          <w:b w:val="0"/>
          <w:bCs w:val="0"/>
          <w:i w:val="0"/>
          <w:iCs w:val="0"/>
          <w:caps w:val="0"/>
          <w:color w:val="000000"/>
          <w:spacing w:val="0"/>
          <w:sz w:val="24"/>
          <w:szCs w:val="24"/>
          <w:lang w:val="en-US" w:eastAsia="zh-CN"/>
        </w:rPr>
        <w:t>刘兴鹏</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二、调研内容</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（一）毕业生就业与人才需求情况分析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1.近</w:t>
      </w:r>
      <w:r>
        <w:rPr>
          <w:rFonts w:hint="eastAsia" w:ascii="Times New Roman" w:hAnsi="Times New Roman" w:eastAsia="宋体" w:cs="Times New Roman"/>
          <w:b w:val="0"/>
          <w:bCs w:val="0"/>
          <w:i w:val="0"/>
          <w:iCs w:val="0"/>
          <w:caps w:val="0"/>
          <w:color w:val="000000"/>
          <w:spacing w:val="0"/>
          <w:sz w:val="24"/>
          <w:szCs w:val="24"/>
          <w:lang w:val="en-US" w:eastAsia="zh-CN"/>
        </w:rPr>
        <w:t>三</w:t>
      </w:r>
      <w:r>
        <w:rPr>
          <w:rFonts w:hint="default" w:ascii="Times New Roman" w:hAnsi="Times New Roman" w:eastAsia="宋体" w:cs="Times New Roman"/>
          <w:b w:val="0"/>
          <w:bCs w:val="0"/>
          <w:i w:val="0"/>
          <w:iCs w:val="0"/>
          <w:caps w:val="0"/>
          <w:color w:val="000000"/>
          <w:spacing w:val="0"/>
          <w:sz w:val="24"/>
          <w:szCs w:val="24"/>
        </w:rPr>
        <w:t>年人才培养质量反馈情况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eastAsia" w:ascii="Times New Roman" w:hAnsi="Times New Roman" w:eastAsia="宋体" w:cs="Times New Roman"/>
          <w:b w:val="0"/>
          <w:bCs w:val="0"/>
          <w:i w:val="0"/>
          <w:iCs w:val="0"/>
          <w:caps w:val="0"/>
          <w:color w:val="000000"/>
          <w:spacing w:val="0"/>
          <w:sz w:val="24"/>
          <w:szCs w:val="24"/>
          <w:lang w:val="en-US" w:eastAsia="zh-CN"/>
        </w:rPr>
        <w:t>城市轨道交通</w:t>
      </w:r>
      <w:r>
        <w:rPr>
          <w:rFonts w:hint="default" w:ascii="Times New Roman" w:hAnsi="Times New Roman" w:eastAsia="宋体" w:cs="Times New Roman"/>
          <w:b w:val="0"/>
          <w:bCs w:val="0"/>
          <w:i w:val="0"/>
          <w:iCs w:val="0"/>
          <w:caps w:val="0"/>
          <w:color w:val="000000"/>
          <w:spacing w:val="0"/>
          <w:sz w:val="24"/>
          <w:szCs w:val="24"/>
          <w:lang w:val="en-US" w:eastAsia="zh-CN"/>
        </w:rPr>
        <w:t>工程技术专业毕业生就业率</w:t>
      </w:r>
      <w:r>
        <w:rPr>
          <w:rFonts w:hint="eastAsia" w:ascii="Times New Roman" w:hAnsi="Times New Roman" w:eastAsia="宋体" w:cs="Times New Roman"/>
          <w:b w:val="0"/>
          <w:bCs w:val="0"/>
          <w:i w:val="0"/>
          <w:iCs w:val="0"/>
          <w:caps w:val="0"/>
          <w:color w:val="000000"/>
          <w:spacing w:val="0"/>
          <w:sz w:val="24"/>
          <w:szCs w:val="24"/>
          <w:lang w:val="en-US" w:eastAsia="zh-CN"/>
        </w:rPr>
        <w:t>自</w:t>
      </w:r>
      <w:r>
        <w:rPr>
          <w:rFonts w:hint="default" w:ascii="Times New Roman" w:hAnsi="Times New Roman" w:eastAsia="宋体" w:cs="Times New Roman"/>
          <w:b w:val="0"/>
          <w:bCs w:val="0"/>
          <w:i w:val="0"/>
          <w:iCs w:val="0"/>
          <w:caps w:val="0"/>
          <w:color w:val="000000"/>
          <w:spacing w:val="0"/>
          <w:sz w:val="24"/>
          <w:szCs w:val="24"/>
          <w:lang w:val="en-US" w:eastAsia="zh-CN"/>
        </w:rPr>
        <w:t>20</w:t>
      </w:r>
      <w:r>
        <w:rPr>
          <w:rFonts w:hint="eastAsia" w:ascii="Times New Roman" w:hAnsi="Times New Roman" w:eastAsia="宋体" w:cs="Times New Roman"/>
          <w:b w:val="0"/>
          <w:bCs w:val="0"/>
          <w:i w:val="0"/>
          <w:iCs w:val="0"/>
          <w:caps w:val="0"/>
          <w:color w:val="000000"/>
          <w:spacing w:val="0"/>
          <w:sz w:val="24"/>
          <w:szCs w:val="24"/>
          <w:lang w:val="en-US" w:eastAsia="zh-CN"/>
        </w:rPr>
        <w:t>21</w:t>
      </w:r>
      <w:r>
        <w:rPr>
          <w:rFonts w:hint="default" w:ascii="Times New Roman" w:hAnsi="Times New Roman" w:eastAsia="宋体" w:cs="Times New Roman"/>
          <w:b w:val="0"/>
          <w:bCs w:val="0"/>
          <w:i w:val="0"/>
          <w:iCs w:val="0"/>
          <w:caps w:val="0"/>
          <w:color w:val="000000"/>
          <w:spacing w:val="0"/>
          <w:sz w:val="24"/>
          <w:szCs w:val="24"/>
          <w:lang w:val="en-US" w:eastAsia="zh-CN"/>
        </w:rPr>
        <w:t>届至今，连续</w:t>
      </w:r>
      <w:r>
        <w:rPr>
          <w:rFonts w:hint="eastAsia" w:ascii="Times New Roman" w:hAnsi="Times New Roman" w:eastAsia="宋体" w:cs="Times New Roman"/>
          <w:b w:val="0"/>
          <w:bCs w:val="0"/>
          <w:i w:val="0"/>
          <w:iCs w:val="0"/>
          <w:caps w:val="0"/>
          <w:color w:val="000000"/>
          <w:spacing w:val="0"/>
          <w:sz w:val="24"/>
          <w:szCs w:val="24"/>
          <w:lang w:val="en-US" w:eastAsia="zh-CN"/>
        </w:rPr>
        <w:t>3</w:t>
      </w:r>
      <w:r>
        <w:rPr>
          <w:rFonts w:hint="default" w:ascii="Times New Roman" w:hAnsi="Times New Roman" w:eastAsia="宋体" w:cs="Times New Roman"/>
          <w:b w:val="0"/>
          <w:bCs w:val="0"/>
          <w:i w:val="0"/>
          <w:iCs w:val="0"/>
          <w:caps w:val="0"/>
          <w:color w:val="000000"/>
          <w:spacing w:val="0"/>
          <w:sz w:val="24"/>
          <w:szCs w:val="24"/>
          <w:lang w:val="en-US" w:eastAsia="zh-CN"/>
        </w:rPr>
        <w:t>年保持在90%以上；月收入在</w:t>
      </w:r>
      <w:r>
        <w:rPr>
          <w:rFonts w:hint="eastAsia" w:ascii="Times New Roman" w:hAnsi="Times New Roman" w:eastAsia="宋体" w:cs="Times New Roman"/>
          <w:b w:val="0"/>
          <w:bCs w:val="0"/>
          <w:i w:val="0"/>
          <w:iCs w:val="0"/>
          <w:caps w:val="0"/>
          <w:color w:val="000000"/>
          <w:spacing w:val="0"/>
          <w:sz w:val="24"/>
          <w:szCs w:val="24"/>
          <w:lang w:val="en-US" w:eastAsia="zh-CN"/>
        </w:rPr>
        <w:t>3</w:t>
      </w:r>
      <w:r>
        <w:rPr>
          <w:rFonts w:hint="default" w:ascii="Times New Roman" w:hAnsi="Times New Roman" w:eastAsia="宋体" w:cs="Times New Roman"/>
          <w:b w:val="0"/>
          <w:bCs w:val="0"/>
          <w:i w:val="0"/>
          <w:iCs w:val="0"/>
          <w:caps w:val="0"/>
          <w:color w:val="000000"/>
          <w:spacing w:val="0"/>
          <w:sz w:val="24"/>
          <w:szCs w:val="24"/>
          <w:lang w:val="en-US" w:eastAsia="zh-CN"/>
        </w:rPr>
        <w:t>000</w:t>
      </w:r>
      <w:r>
        <w:rPr>
          <w:rFonts w:hint="eastAsia" w:ascii="Times New Roman" w:hAnsi="Times New Roman" w:eastAsia="宋体" w:cs="Times New Roman"/>
          <w:b w:val="0"/>
          <w:bCs w:val="0"/>
          <w:i w:val="0"/>
          <w:iCs w:val="0"/>
          <w:caps w:val="0"/>
          <w:color w:val="000000"/>
          <w:spacing w:val="0"/>
          <w:sz w:val="24"/>
          <w:szCs w:val="24"/>
          <w:lang w:val="en-US" w:eastAsia="zh-CN"/>
        </w:rPr>
        <w:t>-5</w:t>
      </w:r>
      <w:r>
        <w:rPr>
          <w:rFonts w:hint="default" w:ascii="Times New Roman" w:hAnsi="Times New Roman" w:eastAsia="宋体" w:cs="Times New Roman"/>
          <w:b w:val="0"/>
          <w:bCs w:val="0"/>
          <w:i w:val="0"/>
          <w:iCs w:val="0"/>
          <w:caps w:val="0"/>
          <w:color w:val="000000"/>
          <w:spacing w:val="0"/>
          <w:sz w:val="24"/>
          <w:szCs w:val="24"/>
          <w:lang w:val="en-US" w:eastAsia="zh-CN"/>
        </w:rPr>
        <w:t>000元区间内的占毕业生总数的80%以上；工作与专业相关度为 60%以上；对用人单位开展调研，用人单位满意度超80%，对毕业生综合素质给予了较高评价，尤为凸显的是岗位适应能力，评价毕业生“上手操作快”。通过反馈可知，</w:t>
      </w:r>
      <w:r>
        <w:rPr>
          <w:rFonts w:hint="default" w:ascii="Times New Roman" w:hAnsi="Times New Roman" w:eastAsia="宋体" w:cs="Times New Roman"/>
          <w:b w:val="0"/>
          <w:bCs w:val="0"/>
          <w:i w:val="0"/>
          <w:iCs w:val="0"/>
          <w:caps w:val="0"/>
          <w:color w:val="000000"/>
          <w:spacing w:val="0"/>
          <w:sz w:val="24"/>
          <w:szCs w:val="24"/>
        </w:rPr>
        <w:t>专业主要服务面向情况与专业就业主要领域定位</w:t>
      </w:r>
      <w:r>
        <w:rPr>
          <w:rFonts w:hint="default" w:ascii="Times New Roman" w:hAnsi="Times New Roman" w:eastAsia="宋体" w:cs="Times New Roman"/>
          <w:b w:val="0"/>
          <w:bCs w:val="0"/>
          <w:i w:val="0"/>
          <w:iCs w:val="0"/>
          <w:caps w:val="0"/>
          <w:color w:val="000000"/>
          <w:spacing w:val="0"/>
          <w:sz w:val="24"/>
          <w:szCs w:val="24"/>
          <w:lang w:val="en-US" w:eastAsia="zh-CN"/>
        </w:rPr>
        <w:t>基本</w:t>
      </w:r>
      <w:r>
        <w:rPr>
          <w:rFonts w:hint="default" w:ascii="Times New Roman" w:hAnsi="Times New Roman" w:eastAsia="宋体" w:cs="Times New Roman"/>
          <w:b w:val="0"/>
          <w:bCs w:val="0"/>
          <w:i w:val="0"/>
          <w:iCs w:val="0"/>
          <w:caps w:val="0"/>
          <w:color w:val="000000"/>
          <w:spacing w:val="0"/>
          <w:sz w:val="24"/>
          <w:szCs w:val="24"/>
        </w:rPr>
        <w:t>相符</w:t>
      </w:r>
      <w:r>
        <w:rPr>
          <w:rFonts w:hint="default" w:ascii="Times New Roman" w:hAnsi="Times New Roman" w:eastAsia="宋体" w:cs="Times New Roman"/>
          <w:b w:val="0"/>
          <w:bCs w:val="0"/>
          <w:i w:val="0"/>
          <w:iCs w:val="0"/>
          <w:caps w:val="0"/>
          <w:color w:val="000000"/>
          <w:spacing w:val="0"/>
          <w:sz w:val="24"/>
          <w:szCs w:val="24"/>
          <w:lang w:eastAsia="zh-CN"/>
        </w:rPr>
        <w: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2.人才需求情况分析及预测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rPr>
      </w:pPr>
      <w:r>
        <w:rPr>
          <w:rFonts w:hint="default" w:ascii="Times New Roman" w:hAnsi="Times New Roman" w:eastAsia="宋体" w:cs="Times New Roman"/>
          <w:b w:val="0"/>
          <w:bCs w:val="0"/>
          <w:i w:val="0"/>
          <w:iCs w:val="0"/>
          <w:caps w:val="0"/>
          <w:color w:val="000000"/>
          <w:spacing w:val="0"/>
          <w:sz w:val="24"/>
          <w:szCs w:val="24"/>
          <w:highlight w:val="none"/>
        </w:rPr>
        <w:t>我国城市轨道交通每公里需要运营人员50~70人，管理人员和专业技术人员比例在17% ~ 26%之间。倘若根据我国十三五期间新建3000公里计算，至少需要增强15万城市轨道交通专业人才。可以看出，城市轨道交通对人才的需求差距很大，培养技术和技能型人才迫在眉睫。</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eastAsia="zh-CN"/>
        </w:rPr>
      </w:pPr>
      <w:r>
        <w:rPr>
          <w:rFonts w:hint="default" w:ascii="Times New Roman" w:hAnsi="Times New Roman" w:eastAsia="宋体" w:cs="Times New Roman"/>
          <w:b w:val="0"/>
          <w:bCs w:val="0"/>
          <w:i w:val="0"/>
          <w:iCs w:val="0"/>
          <w:caps w:val="0"/>
          <w:color w:val="000000"/>
          <w:spacing w:val="0"/>
          <w:sz w:val="24"/>
          <w:szCs w:val="24"/>
          <w:highlight w:val="none"/>
        </w:rPr>
        <w:t>轨道交通行业对专业技术人才的需求较高。目前城市轨道交通人才市场如下：一是具有城市轨道交通管理、建设、设计、运营阅历的人才匮乏；二是大学开设的城市轨道交通相关专业数量少，质量差。通过对城市轨道交通主要任务的分析，专业技术人才的需求大致可分为四类：工程建设人才、管理RD人才、专业技术管理人才和应用维护人才。城市轨道交通工程与技术专业主要培养能够从事城市轨道交通工程建设、监理、设计、测试和维护的同学。目前，城市轨道交通工程建设面临工期紧、任务重、施工环境复杂的特点，这就要求施工管理人员具备扎实的专业学问和良好的综合素养，同时具备较强的实践能力。因此，在培养同学的过程中，大学不仅要向同学传授专业</w:t>
      </w:r>
      <w:bookmarkStart w:id="2" w:name="_GoBack"/>
      <w:bookmarkEnd w:id="2"/>
      <w:r>
        <w:rPr>
          <w:rFonts w:hint="default" w:ascii="Times New Roman" w:hAnsi="Times New Roman" w:eastAsia="宋体" w:cs="Times New Roman"/>
          <w:b w:val="0"/>
          <w:bCs w:val="0"/>
          <w:i w:val="0"/>
          <w:iCs w:val="0"/>
          <w:caps w:val="0"/>
          <w:color w:val="000000"/>
          <w:spacing w:val="0"/>
          <w:sz w:val="24"/>
          <w:szCs w:val="24"/>
          <w:highlight w:val="none"/>
        </w:rPr>
        <w:t>学问，还要培养同学的综合素养和实践能力。</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（二）企业行业调研情况分析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1.行业调查</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rPr>
      </w:pPr>
      <w:r>
        <w:rPr>
          <w:rFonts w:hint="default" w:ascii="Times New Roman" w:hAnsi="Times New Roman" w:eastAsia="宋体" w:cs="Times New Roman"/>
          <w:b w:val="0"/>
          <w:bCs w:val="0"/>
          <w:i w:val="0"/>
          <w:iCs w:val="0"/>
          <w:caps w:val="0"/>
          <w:color w:val="000000"/>
          <w:spacing w:val="0"/>
          <w:sz w:val="24"/>
          <w:szCs w:val="24"/>
          <w:highlight w:val="none"/>
        </w:rPr>
        <w:t>行业十四五规划建设；经济转型升级、产业结构调整等对行业有关技术技能领域提出的新要求；有关领域职业岗位设置情况及行业人才结构现状；行业技术技能人才供求状况及需求预测，特别是对高等职业教育的供求状况；专业教学标准与行业标准对接的联动机制等。</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1）行业发展前景乐观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ascii="宋体" w:hAnsi="宋体" w:eastAsia="宋体" w:cs="宋体"/>
          <w:sz w:val="24"/>
          <w:szCs w:val="24"/>
        </w:rPr>
      </w:pPr>
      <w:r>
        <w:rPr>
          <w:rFonts w:ascii="宋体" w:hAnsi="宋体" w:eastAsia="宋体" w:cs="宋体"/>
          <w:sz w:val="24"/>
          <w:szCs w:val="24"/>
        </w:rPr>
        <w:t>随着我国经济持续高速发展，轨道交通行业也进入快速发展期。针对目前我国城市轨道交通行业迅猛发展，各类轨道交通专业人才需求量呈现出越来越大的态势，尤其是新线建成投入运营时，各种管理和技术人才匮乏问题日益显露。而城市轨道交通作为一个新兴行业，如何培养高技能的人才队伍成为其所要面对的重要问题。轨道交通行业不仅要对新进企业的员工进行上岗前的技能和岗位培训，对原有的企业职工进行知识更新，同时还必须确保已开通线路的正常运营和对新建线路的接管，为此，必须进一步探索城市轨道交通行业高技能人才培养的思路与对策。</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2）</w:t>
      </w:r>
      <w:r>
        <w:rPr>
          <w:rFonts w:hint="default" w:ascii="Times New Roman" w:hAnsi="Times New Roman" w:eastAsia="宋体" w:cs="Times New Roman"/>
          <w:b w:val="0"/>
          <w:bCs w:val="0"/>
          <w:i w:val="0"/>
          <w:iCs w:val="0"/>
          <w:caps w:val="0"/>
          <w:color w:val="000000"/>
          <w:spacing w:val="0"/>
          <w:sz w:val="24"/>
          <w:szCs w:val="24"/>
          <w:highlight w:val="none"/>
        </w:rPr>
        <w:t>中国城市轨道交通运营规模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rPr>
        <w:t>截至2022年底，全国35个城市开通线路185条，总里程5761.4公里。随着时光的推移，这些数据还在增强。城市轨道交通已在各大中城市得到广泛应用。从运营线网络规模来看，全国17个城市的网络规模已达到100公里以上，其中上海， 784.6公里、北京713公里、广州463.9公里位居2022年前三，均超过400公里；此外，运营线路在南京，武汉，成都和重庆的长度超过300公里；运营线路、深圳和天津，的城市轨道交通超过200公里；大连、青岛、苏州、郑州、沈阳、西安、长春、运营线的道路长达100多公里。</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2.企业调研</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结合</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城市轨道交通</w:t>
      </w:r>
      <w:r>
        <w:rPr>
          <w:rFonts w:hint="default" w:ascii="Times New Roman" w:hAnsi="Times New Roman" w:eastAsia="宋体" w:cs="Times New Roman"/>
          <w:b w:val="0"/>
          <w:bCs w:val="0"/>
          <w:i w:val="0"/>
          <w:iCs w:val="0"/>
          <w:caps w:val="0"/>
          <w:color w:val="000000"/>
          <w:spacing w:val="0"/>
          <w:sz w:val="24"/>
          <w:szCs w:val="24"/>
          <w:highlight w:val="none"/>
          <w:lang w:val="en-US" w:eastAsia="zh-CN"/>
        </w:rPr>
        <w:t>工程技术专业的特点，调研小组分别对建筑施工企业、</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路桥施工</w:t>
      </w:r>
      <w:r>
        <w:rPr>
          <w:rFonts w:hint="default" w:ascii="Times New Roman" w:hAnsi="Times New Roman" w:eastAsia="宋体" w:cs="Times New Roman"/>
          <w:b w:val="0"/>
          <w:bCs w:val="0"/>
          <w:i w:val="0"/>
          <w:iCs w:val="0"/>
          <w:caps w:val="0"/>
          <w:color w:val="000000"/>
          <w:spacing w:val="0"/>
          <w:sz w:val="24"/>
          <w:szCs w:val="24"/>
          <w:highlight w:val="none"/>
          <w:lang w:val="en-US" w:eastAsia="zh-CN"/>
        </w:rPr>
        <w:t>企业及</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市政施工</w:t>
      </w:r>
      <w:r>
        <w:rPr>
          <w:rFonts w:hint="default" w:ascii="Times New Roman" w:hAnsi="Times New Roman" w:eastAsia="宋体" w:cs="Times New Roman"/>
          <w:b w:val="0"/>
          <w:bCs w:val="0"/>
          <w:i w:val="0"/>
          <w:iCs w:val="0"/>
          <w:caps w:val="0"/>
          <w:color w:val="000000"/>
          <w:spacing w:val="0"/>
          <w:sz w:val="24"/>
          <w:szCs w:val="24"/>
          <w:highlight w:val="none"/>
          <w:lang w:val="en-US" w:eastAsia="zh-CN"/>
        </w:rPr>
        <w:t>企业展开调研，</w:t>
      </w:r>
      <w:r>
        <w:rPr>
          <w:rFonts w:hint="default" w:ascii="Times New Roman" w:hAnsi="Times New Roman" w:eastAsia="宋体" w:cs="Times New Roman"/>
          <w:b w:val="0"/>
          <w:bCs w:val="0"/>
          <w:i w:val="0"/>
          <w:iCs w:val="0"/>
          <w:caps w:val="0"/>
          <w:color w:val="000000"/>
          <w:spacing w:val="0"/>
          <w:sz w:val="24"/>
          <w:szCs w:val="24"/>
          <w:highlight w:val="none"/>
          <w:lang w:eastAsia="zh-CN"/>
        </w:rPr>
        <w:t>用以调查</w:t>
      </w:r>
      <w:r>
        <w:rPr>
          <w:rFonts w:hint="default" w:ascii="Times New Roman" w:hAnsi="Times New Roman" w:eastAsia="宋体" w:cs="Times New Roman"/>
          <w:b w:val="0"/>
          <w:bCs w:val="0"/>
          <w:i w:val="0"/>
          <w:iCs w:val="0"/>
          <w:caps w:val="0"/>
          <w:color w:val="000000"/>
          <w:spacing w:val="0"/>
          <w:sz w:val="24"/>
          <w:szCs w:val="24"/>
          <w:highlight w:val="none"/>
          <w:lang w:val="en-US" w:eastAsia="zh-CN"/>
        </w:rPr>
        <w:t>不同类</w:t>
      </w:r>
      <w:r>
        <w:rPr>
          <w:rFonts w:hint="default" w:ascii="Times New Roman" w:hAnsi="Times New Roman" w:eastAsia="宋体" w:cs="Times New Roman"/>
          <w:b w:val="0"/>
          <w:bCs w:val="0"/>
          <w:i w:val="0"/>
          <w:iCs w:val="0"/>
          <w:caps w:val="0"/>
          <w:color w:val="000000"/>
          <w:spacing w:val="0"/>
          <w:sz w:val="24"/>
          <w:szCs w:val="24"/>
          <w:highlight w:val="none"/>
          <w:lang w:eastAsia="zh-CN"/>
        </w:rPr>
        <w:t>企业人员对</w:t>
      </w:r>
      <w:r>
        <w:rPr>
          <w:rFonts w:hint="eastAsia" w:ascii="Times New Roman" w:hAnsi="Times New Roman" w:eastAsia="宋体" w:cs="Times New Roman"/>
          <w:b w:val="0"/>
          <w:bCs w:val="0"/>
          <w:i w:val="0"/>
          <w:iCs w:val="0"/>
          <w:caps w:val="0"/>
          <w:color w:val="000000"/>
          <w:spacing w:val="0"/>
          <w:sz w:val="24"/>
          <w:szCs w:val="24"/>
          <w:highlight w:val="none"/>
          <w:lang w:eastAsia="zh-CN"/>
        </w:rPr>
        <w:t>城市轨道交通</w:t>
      </w:r>
      <w:r>
        <w:rPr>
          <w:rFonts w:hint="default" w:ascii="Times New Roman" w:hAnsi="Times New Roman" w:eastAsia="宋体" w:cs="Times New Roman"/>
          <w:b w:val="0"/>
          <w:bCs w:val="0"/>
          <w:i w:val="0"/>
          <w:iCs w:val="0"/>
          <w:caps w:val="0"/>
          <w:color w:val="000000"/>
          <w:spacing w:val="0"/>
          <w:sz w:val="24"/>
          <w:szCs w:val="24"/>
          <w:highlight w:val="none"/>
          <w:lang w:eastAsia="zh-CN"/>
        </w:rPr>
        <w:t>工程技术专业现有的培养目标、毕业生能</w:t>
      </w:r>
      <w:r>
        <w:rPr>
          <w:rFonts w:hint="default" w:ascii="Times New Roman" w:hAnsi="Times New Roman" w:eastAsia="宋体" w:cs="Times New Roman"/>
          <w:b w:val="0"/>
          <w:bCs w:val="0"/>
          <w:i w:val="0"/>
          <w:iCs w:val="0"/>
          <w:caps w:val="0"/>
          <w:color w:val="000000"/>
          <w:spacing w:val="0"/>
          <w:sz w:val="24"/>
          <w:szCs w:val="24"/>
          <w:highlight w:val="none"/>
          <w:lang w:val="en-US" w:eastAsia="zh-CN"/>
        </w:rPr>
        <w:t>力、有关专业课程设置、教学过程与效果的意见建议。</w:t>
      </w:r>
      <w:r>
        <w:rPr>
          <w:rFonts w:hint="default" w:ascii="Times New Roman" w:hAnsi="Times New Roman" w:eastAsia="宋体" w:cs="Times New Roman"/>
          <w:b w:val="0"/>
          <w:bCs w:val="0"/>
          <w:i w:val="0"/>
          <w:iCs w:val="0"/>
          <w:caps w:val="0"/>
          <w:color w:val="000000"/>
          <w:spacing w:val="0"/>
          <w:sz w:val="24"/>
          <w:szCs w:val="24"/>
          <w:highlight w:val="none"/>
          <w:lang w:eastAsia="zh-CN"/>
        </w:rPr>
        <w:t>调研的具体人员为生产技术人员、生产管理人员、人力资源部人员、企业管理人员等（含毕业生）。</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1）职业岗位的主要工作任务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Times New Roman" w:hAnsi="Times New Roman" w:eastAsia="宋体" w:cs="Times New Roman"/>
          <w:b w:val="0"/>
          <w:bCs w:val="0"/>
          <w:i w:val="0"/>
          <w:iCs w:val="0"/>
          <w:caps w:val="0"/>
          <w:color w:val="000000"/>
          <w:spacing w:val="0"/>
          <w:kern w:val="0"/>
          <w:sz w:val="24"/>
          <w:szCs w:val="24"/>
          <w:highlight w:val="none"/>
          <w:lang w:val="en-US" w:eastAsia="zh-CN" w:bidi="ar"/>
        </w:rPr>
      </w:pPr>
      <w:r>
        <w:rPr>
          <w:rFonts w:hint="eastAsia" w:ascii="Times New Roman" w:hAnsi="Times New Roman" w:eastAsia="宋体" w:cs="Times New Roman"/>
          <w:b w:val="0"/>
          <w:bCs w:val="0"/>
          <w:i w:val="0"/>
          <w:iCs w:val="0"/>
          <w:caps w:val="0"/>
          <w:color w:val="000000"/>
          <w:spacing w:val="0"/>
          <w:kern w:val="0"/>
          <w:sz w:val="24"/>
          <w:szCs w:val="24"/>
          <w:highlight w:val="none"/>
          <w:lang w:val="en-US" w:eastAsia="zh-CN" w:bidi="ar"/>
        </w:rPr>
        <w:t>100％的企业专家认为城市轨道交通工程技术职业岗位的主要工作任务包括工程施工及检测、资料管理、生产管理；60%的企业专家认为城市轨道交通工程技术职业岗位的主要工作任务还应该包括后期工程使用运营阶段的维护和保养。</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Times New Roman" w:hAnsi="Times New Roman" w:eastAsia="宋体" w:cs="Times New Roman"/>
          <w:b w:val="0"/>
          <w:bCs w:val="0"/>
          <w:i w:val="0"/>
          <w:iCs w:val="0"/>
          <w:caps w:val="0"/>
          <w:color w:val="000000"/>
          <w:spacing w:val="0"/>
          <w:kern w:val="0"/>
          <w:sz w:val="24"/>
          <w:szCs w:val="24"/>
          <w:highlight w:val="none"/>
          <w:lang w:val="en-US" w:eastAsia="zh-CN" w:bidi="ar"/>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eastAsia" w:ascii="Times New Roman" w:hAnsi="Times New Roman" w:eastAsia="宋体" w:cs="Times New Roman"/>
          <w:b w:val="0"/>
          <w:bCs w:val="0"/>
          <w:i w:val="0"/>
          <w:iCs w:val="0"/>
          <w:caps w:val="0"/>
          <w:color w:val="000000"/>
          <w:spacing w:val="0"/>
          <w:kern w:val="0"/>
          <w:sz w:val="24"/>
          <w:szCs w:val="24"/>
          <w:highlight w:val="none"/>
          <w:lang w:val="en-US" w:eastAsia="zh-CN" w:bidi="ar"/>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2）职业岗位对该专业学生需具备的职业能力要求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（1）由“施工一线”拓展为“施工与养护并重的一线”。在轨道施工和轨道运营管理两类企业的基层一线人才（施工员、测量员、试验员、质检员、安全员、养护员）。</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2）由“高技能应用型人才”提升为“技术技能型人才”。轨道交通行业是近年来发展迅猛、技术含量高的一门新兴产业，毕业生就业面向的主要是国有大型企业，要求高职毕业生不仅要有高技能，更要有扎实的专业基础知识和专业技术功底，同时具备一定的发展潜力和创新能力，走技术技能型人才之路。</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3）职业岗位对该专业学生需具备的非专业能力要求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企业专家认为</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城市轨道交通</w:t>
      </w:r>
      <w:r>
        <w:rPr>
          <w:rFonts w:hint="default" w:ascii="Times New Roman" w:hAnsi="Times New Roman" w:eastAsia="宋体" w:cs="Times New Roman"/>
          <w:b w:val="0"/>
          <w:bCs w:val="0"/>
          <w:i w:val="0"/>
          <w:iCs w:val="0"/>
          <w:caps w:val="0"/>
          <w:color w:val="000000"/>
          <w:spacing w:val="0"/>
          <w:sz w:val="24"/>
          <w:szCs w:val="24"/>
          <w:highlight w:val="none"/>
          <w:lang w:val="en-US" w:eastAsia="zh-CN"/>
        </w:rPr>
        <w:t>工程技术职业岗位学生需具备人的协调能力、人际交往能力、团队合作能力、执行工作能力、诚信意识、责任意识、安全意识等。</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4）证书要求分析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textAlignment w:val="auto"/>
        <w:rPr>
          <w:rFonts w:hint="default" w:ascii="Times New Roman" w:hAnsi="Times New Roman" w:eastAsia="宋体" w:cs="Times New Roman"/>
          <w:b w:val="0"/>
          <w:bCs w:val="0"/>
          <w:i w:val="0"/>
          <w:iCs w:val="0"/>
          <w:caps w:val="0"/>
          <w:color w:val="000000"/>
          <w:spacing w:val="0"/>
          <w:sz w:val="24"/>
          <w:szCs w:val="24"/>
          <w:highlight w:val="none"/>
          <w:lang w:val="en-US" w:eastAsia="zh-CN"/>
        </w:rPr>
      </w:pPr>
      <w:r>
        <w:rPr>
          <w:rFonts w:hint="default" w:ascii="Times New Roman" w:hAnsi="Times New Roman" w:eastAsia="宋体" w:cs="Times New Roman"/>
          <w:b w:val="0"/>
          <w:bCs w:val="0"/>
          <w:i w:val="0"/>
          <w:iCs w:val="0"/>
          <w:caps w:val="0"/>
          <w:color w:val="000000"/>
          <w:spacing w:val="0"/>
          <w:sz w:val="24"/>
          <w:szCs w:val="24"/>
          <w:highlight w:val="none"/>
          <w:lang w:val="en-US" w:eastAsia="zh-CN"/>
        </w:rPr>
        <w:t>本次主要是针对建筑十二大员职业证书重要度进行调查。对于</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城市轨道交通</w:t>
      </w:r>
      <w:r>
        <w:rPr>
          <w:rFonts w:hint="default" w:ascii="Times New Roman" w:hAnsi="Times New Roman" w:eastAsia="宋体" w:cs="Times New Roman"/>
          <w:b w:val="0"/>
          <w:bCs w:val="0"/>
          <w:i w:val="0"/>
          <w:iCs w:val="0"/>
          <w:caps w:val="0"/>
          <w:color w:val="000000"/>
          <w:spacing w:val="0"/>
          <w:sz w:val="24"/>
          <w:szCs w:val="24"/>
          <w:highlight w:val="none"/>
          <w:lang w:val="en-US" w:eastAsia="zh-CN"/>
        </w:rPr>
        <w:t>工程技术专业的毕业生，在毕业前最好考取“</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施工员</w:t>
      </w:r>
      <w:r>
        <w:rPr>
          <w:rFonts w:hint="default" w:ascii="Times New Roman" w:hAnsi="Times New Roman" w:eastAsia="宋体" w:cs="Times New Roman"/>
          <w:b w:val="0"/>
          <w:bCs w:val="0"/>
          <w:i w:val="0"/>
          <w:iCs w:val="0"/>
          <w:caps w:val="0"/>
          <w:color w:val="000000"/>
          <w:spacing w:val="0"/>
          <w:sz w:val="24"/>
          <w:szCs w:val="24"/>
          <w:highlight w:val="none"/>
          <w:lang w:val="en-US" w:eastAsia="zh-CN"/>
        </w:rPr>
        <w:t>”</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w:t>
      </w:r>
      <w:r>
        <w:rPr>
          <w:rFonts w:hint="default" w:ascii="Times New Roman" w:hAnsi="Times New Roman" w:eastAsia="宋体" w:cs="Times New Roman"/>
          <w:b w:val="0"/>
          <w:bCs w:val="0"/>
          <w:i w:val="0"/>
          <w:iCs w:val="0"/>
          <w:caps w:val="0"/>
          <w:color w:val="000000"/>
          <w:spacing w:val="0"/>
          <w:sz w:val="24"/>
          <w:szCs w:val="24"/>
          <w:highlight w:val="none"/>
          <w:lang w:val="en-US" w:eastAsia="zh-CN"/>
        </w:rPr>
        <w:t>“</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测量</w:t>
      </w:r>
      <w:r>
        <w:rPr>
          <w:rFonts w:hint="default" w:ascii="Times New Roman" w:hAnsi="Times New Roman" w:eastAsia="宋体" w:cs="Times New Roman"/>
          <w:b w:val="0"/>
          <w:bCs w:val="0"/>
          <w:i w:val="0"/>
          <w:iCs w:val="0"/>
          <w:caps w:val="0"/>
          <w:color w:val="000000"/>
          <w:spacing w:val="0"/>
          <w:sz w:val="24"/>
          <w:szCs w:val="24"/>
          <w:highlight w:val="none"/>
          <w:lang w:val="en-US" w:eastAsia="zh-CN"/>
        </w:rPr>
        <w:t>员”</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w:t>
      </w:r>
      <w:r>
        <w:rPr>
          <w:rFonts w:hint="default" w:ascii="Times New Roman" w:hAnsi="Times New Roman" w:eastAsia="宋体" w:cs="Times New Roman"/>
          <w:b w:val="0"/>
          <w:bCs w:val="0"/>
          <w:i w:val="0"/>
          <w:iCs w:val="0"/>
          <w:caps w:val="0"/>
          <w:color w:val="000000"/>
          <w:spacing w:val="0"/>
          <w:sz w:val="24"/>
          <w:szCs w:val="24"/>
          <w:highlight w:val="none"/>
          <w:lang w:val="en-US" w:eastAsia="zh-CN"/>
        </w:rPr>
        <w:t>“</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实验</w:t>
      </w:r>
      <w:r>
        <w:rPr>
          <w:rFonts w:hint="default" w:ascii="Times New Roman" w:hAnsi="Times New Roman" w:eastAsia="宋体" w:cs="Times New Roman"/>
          <w:b w:val="0"/>
          <w:bCs w:val="0"/>
          <w:i w:val="0"/>
          <w:iCs w:val="0"/>
          <w:caps w:val="0"/>
          <w:color w:val="000000"/>
          <w:spacing w:val="0"/>
          <w:sz w:val="24"/>
          <w:szCs w:val="24"/>
          <w:highlight w:val="none"/>
          <w:lang w:val="en-US" w:eastAsia="zh-CN"/>
        </w:rPr>
        <w:t>员”、“</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质检</w:t>
      </w:r>
      <w:r>
        <w:rPr>
          <w:rFonts w:hint="default" w:ascii="Times New Roman" w:hAnsi="Times New Roman" w:eastAsia="宋体" w:cs="Times New Roman"/>
          <w:b w:val="0"/>
          <w:bCs w:val="0"/>
          <w:i w:val="0"/>
          <w:iCs w:val="0"/>
          <w:caps w:val="0"/>
          <w:color w:val="000000"/>
          <w:spacing w:val="0"/>
          <w:sz w:val="24"/>
          <w:szCs w:val="24"/>
          <w:highlight w:val="none"/>
          <w:lang w:val="en-US" w:eastAsia="zh-CN"/>
        </w:rPr>
        <w:t>员”和“</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安全</w:t>
      </w:r>
      <w:r>
        <w:rPr>
          <w:rFonts w:hint="default" w:ascii="Times New Roman" w:hAnsi="Times New Roman" w:eastAsia="宋体" w:cs="Times New Roman"/>
          <w:b w:val="0"/>
          <w:bCs w:val="0"/>
          <w:i w:val="0"/>
          <w:iCs w:val="0"/>
          <w:caps w:val="0"/>
          <w:color w:val="000000"/>
          <w:spacing w:val="0"/>
          <w:sz w:val="24"/>
          <w:szCs w:val="24"/>
          <w:highlight w:val="none"/>
          <w:lang w:val="en-US" w:eastAsia="zh-CN"/>
        </w:rPr>
        <w:t>员”、“</w:t>
      </w:r>
      <w:r>
        <w:rPr>
          <w:rFonts w:hint="eastAsia" w:ascii="Times New Roman" w:hAnsi="Times New Roman" w:eastAsia="宋体" w:cs="Times New Roman"/>
          <w:b w:val="0"/>
          <w:bCs w:val="0"/>
          <w:i w:val="0"/>
          <w:iCs w:val="0"/>
          <w:caps w:val="0"/>
          <w:color w:val="000000"/>
          <w:spacing w:val="0"/>
          <w:sz w:val="24"/>
          <w:szCs w:val="24"/>
          <w:highlight w:val="none"/>
          <w:lang w:val="en-US" w:eastAsia="zh-CN"/>
        </w:rPr>
        <w:t>养护</w:t>
      </w:r>
      <w:r>
        <w:rPr>
          <w:rFonts w:hint="default" w:ascii="Times New Roman" w:hAnsi="Times New Roman" w:eastAsia="宋体" w:cs="Times New Roman"/>
          <w:b w:val="0"/>
          <w:bCs w:val="0"/>
          <w:i w:val="0"/>
          <w:iCs w:val="0"/>
          <w:caps w:val="0"/>
          <w:color w:val="000000"/>
          <w:spacing w:val="0"/>
          <w:sz w:val="24"/>
          <w:szCs w:val="24"/>
          <w:highlight w:val="none"/>
          <w:lang w:val="en-US" w:eastAsia="zh-CN"/>
        </w:rPr>
        <w:t>员”中的一个，作为就业必须的职业岗位证书。这样在就业中不仅能满足当前专业对口的岗位需求，而且能为学生今后在行业的可持续发展提供便利。</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三、现行培养方案分析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（一）毕业要求与培养目标契合度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eastAsia" w:ascii="Times New Roman" w:hAnsi="Times New Roman" w:eastAsia="宋体" w:cs="Times New Roman"/>
          <w:b w:val="0"/>
          <w:bCs w:val="0"/>
          <w:i w:val="0"/>
          <w:iCs w:val="0"/>
          <w:caps w:val="0"/>
          <w:color w:val="000000"/>
          <w:spacing w:val="0"/>
          <w:sz w:val="24"/>
          <w:szCs w:val="24"/>
          <w:lang w:eastAsia="zh-CN"/>
        </w:rPr>
        <w:t>城市轨道交通</w:t>
      </w:r>
      <w:r>
        <w:rPr>
          <w:rFonts w:hint="default" w:ascii="Times New Roman" w:hAnsi="Times New Roman" w:eastAsia="宋体" w:cs="Times New Roman"/>
          <w:b w:val="0"/>
          <w:bCs w:val="0"/>
          <w:i w:val="0"/>
          <w:iCs w:val="0"/>
          <w:caps w:val="0"/>
          <w:color w:val="000000"/>
          <w:spacing w:val="0"/>
          <w:sz w:val="24"/>
          <w:szCs w:val="24"/>
        </w:rPr>
        <w:t>工程技术专业</w:t>
      </w:r>
      <w:r>
        <w:rPr>
          <w:rFonts w:hint="default" w:ascii="Times New Roman" w:hAnsi="Times New Roman" w:eastAsia="宋体" w:cs="Times New Roman"/>
          <w:b w:val="0"/>
          <w:bCs w:val="0"/>
          <w:i w:val="0"/>
          <w:iCs w:val="0"/>
          <w:caps w:val="0"/>
          <w:color w:val="000000"/>
          <w:spacing w:val="0"/>
          <w:sz w:val="24"/>
          <w:szCs w:val="24"/>
          <w:lang w:eastAsia="zh-CN"/>
        </w:rPr>
        <w:t>的</w:t>
      </w:r>
      <w:r>
        <w:rPr>
          <w:rFonts w:hint="default" w:ascii="Times New Roman" w:hAnsi="Times New Roman" w:eastAsia="宋体" w:cs="Times New Roman"/>
          <w:b w:val="0"/>
          <w:bCs w:val="0"/>
          <w:i w:val="0"/>
          <w:iCs w:val="0"/>
          <w:caps w:val="0"/>
          <w:color w:val="000000"/>
          <w:spacing w:val="0"/>
          <w:sz w:val="24"/>
          <w:szCs w:val="24"/>
        </w:rPr>
        <w:t>人才培养方向和定位</w:t>
      </w:r>
      <w:r>
        <w:rPr>
          <w:rFonts w:hint="default" w:ascii="Times New Roman" w:hAnsi="Times New Roman" w:eastAsia="宋体" w:cs="Times New Roman"/>
          <w:b w:val="0"/>
          <w:bCs w:val="0"/>
          <w:i w:val="0"/>
          <w:iCs w:val="0"/>
          <w:caps w:val="0"/>
          <w:color w:val="000000"/>
          <w:spacing w:val="0"/>
          <w:sz w:val="24"/>
          <w:szCs w:val="24"/>
          <w:lang w:val="en-US" w:eastAsia="zh-CN"/>
        </w:rPr>
        <w:t>基本与毕业要求吻合</w:t>
      </w:r>
      <w:r>
        <w:rPr>
          <w:rFonts w:hint="default" w:ascii="Times New Roman" w:hAnsi="Times New Roman" w:eastAsia="宋体" w:cs="Times New Roman"/>
          <w:b w:val="0"/>
          <w:bCs w:val="0"/>
          <w:i w:val="0"/>
          <w:iCs w:val="0"/>
          <w:caps w:val="0"/>
          <w:color w:val="000000"/>
          <w:spacing w:val="0"/>
          <w:sz w:val="24"/>
          <w:szCs w:val="24"/>
        </w:rPr>
        <w:t>。具体表述为：“培养德、智、体、美、劳全面发展，具有良好职业道德和人文素养，掌握</w:t>
      </w:r>
      <w:r>
        <w:rPr>
          <w:rFonts w:hint="eastAsia" w:ascii="Times New Roman" w:hAnsi="Times New Roman" w:eastAsia="宋体" w:cs="Times New Roman"/>
          <w:b w:val="0"/>
          <w:bCs w:val="0"/>
          <w:i w:val="0"/>
          <w:iCs w:val="0"/>
          <w:caps w:val="0"/>
          <w:color w:val="000000"/>
          <w:spacing w:val="0"/>
          <w:sz w:val="24"/>
          <w:szCs w:val="24"/>
          <w:lang w:eastAsia="zh-CN"/>
        </w:rPr>
        <w:t>施工测量</w:t>
      </w:r>
      <w:r>
        <w:rPr>
          <w:rFonts w:hint="default" w:ascii="Times New Roman" w:hAnsi="Times New Roman" w:eastAsia="宋体" w:cs="Times New Roman"/>
          <w:b w:val="0"/>
          <w:bCs w:val="0"/>
          <w:i w:val="0"/>
          <w:iCs w:val="0"/>
          <w:caps w:val="0"/>
          <w:color w:val="000000"/>
          <w:spacing w:val="0"/>
          <w:sz w:val="24"/>
          <w:szCs w:val="24"/>
        </w:rPr>
        <w:t>、</w:t>
      </w:r>
      <w:r>
        <w:rPr>
          <w:rFonts w:hint="eastAsia" w:ascii="Times New Roman" w:hAnsi="Times New Roman" w:eastAsia="宋体" w:cs="Times New Roman"/>
          <w:b w:val="0"/>
          <w:bCs w:val="0"/>
          <w:i w:val="0"/>
          <w:iCs w:val="0"/>
          <w:caps w:val="0"/>
          <w:color w:val="000000"/>
          <w:spacing w:val="0"/>
          <w:sz w:val="24"/>
          <w:szCs w:val="24"/>
          <w:lang w:eastAsia="zh-CN"/>
        </w:rPr>
        <w:t>资料管理、项目管理</w:t>
      </w:r>
      <w:r>
        <w:rPr>
          <w:rFonts w:hint="default" w:ascii="Times New Roman" w:hAnsi="Times New Roman" w:eastAsia="宋体" w:cs="Times New Roman"/>
          <w:b w:val="0"/>
          <w:bCs w:val="0"/>
          <w:i w:val="0"/>
          <w:iCs w:val="0"/>
          <w:caps w:val="0"/>
          <w:color w:val="000000"/>
          <w:spacing w:val="0"/>
          <w:sz w:val="24"/>
          <w:szCs w:val="24"/>
        </w:rPr>
        <w:t>及施工技术等基本知识，具备</w:t>
      </w:r>
      <w:r>
        <w:rPr>
          <w:rFonts w:hint="eastAsia" w:ascii="Times New Roman" w:hAnsi="Times New Roman" w:eastAsia="宋体" w:cs="Times New Roman"/>
          <w:b w:val="0"/>
          <w:bCs w:val="0"/>
          <w:i w:val="0"/>
          <w:iCs w:val="0"/>
          <w:caps w:val="0"/>
          <w:color w:val="000000"/>
          <w:spacing w:val="0"/>
          <w:sz w:val="24"/>
          <w:szCs w:val="24"/>
          <w:lang w:eastAsia="zh-CN"/>
        </w:rPr>
        <w:t>施工、测量、</w:t>
      </w:r>
      <w:r>
        <w:rPr>
          <w:rFonts w:hint="default" w:ascii="Times New Roman" w:hAnsi="Times New Roman" w:eastAsia="宋体" w:cs="Times New Roman"/>
          <w:b w:val="0"/>
          <w:bCs w:val="0"/>
          <w:i w:val="0"/>
          <w:iCs w:val="0"/>
          <w:caps w:val="0"/>
          <w:color w:val="000000"/>
          <w:spacing w:val="0"/>
          <w:sz w:val="24"/>
          <w:szCs w:val="24"/>
        </w:rPr>
        <w:t>检测</w:t>
      </w:r>
      <w:r>
        <w:rPr>
          <w:rFonts w:hint="eastAsia" w:ascii="Times New Roman" w:hAnsi="Times New Roman" w:eastAsia="宋体" w:cs="Times New Roman"/>
          <w:b w:val="0"/>
          <w:bCs w:val="0"/>
          <w:i w:val="0"/>
          <w:iCs w:val="0"/>
          <w:caps w:val="0"/>
          <w:color w:val="000000"/>
          <w:spacing w:val="0"/>
          <w:sz w:val="24"/>
          <w:szCs w:val="24"/>
          <w:lang w:eastAsia="zh-CN"/>
        </w:rPr>
        <w:t>、养护</w:t>
      </w:r>
      <w:r>
        <w:rPr>
          <w:rFonts w:hint="default" w:ascii="Times New Roman" w:hAnsi="Times New Roman" w:eastAsia="宋体" w:cs="Times New Roman"/>
          <w:b w:val="0"/>
          <w:bCs w:val="0"/>
          <w:i w:val="0"/>
          <w:iCs w:val="0"/>
          <w:caps w:val="0"/>
          <w:color w:val="000000"/>
          <w:spacing w:val="0"/>
          <w:sz w:val="24"/>
          <w:szCs w:val="24"/>
        </w:rPr>
        <w:t>等能力，从事生产技术、质量检验与控制、</w:t>
      </w:r>
      <w:r>
        <w:rPr>
          <w:rFonts w:hint="eastAsia" w:ascii="Times New Roman" w:hAnsi="Times New Roman" w:eastAsia="宋体" w:cs="Times New Roman"/>
          <w:b w:val="0"/>
          <w:bCs w:val="0"/>
          <w:i w:val="0"/>
          <w:iCs w:val="0"/>
          <w:caps w:val="0"/>
          <w:color w:val="000000"/>
          <w:spacing w:val="0"/>
          <w:sz w:val="24"/>
          <w:szCs w:val="24"/>
          <w:lang w:eastAsia="zh-CN"/>
        </w:rPr>
        <w:t>测量、养护</w:t>
      </w:r>
      <w:r>
        <w:rPr>
          <w:rFonts w:hint="default" w:ascii="Times New Roman" w:hAnsi="Times New Roman" w:eastAsia="宋体" w:cs="Times New Roman"/>
          <w:b w:val="0"/>
          <w:bCs w:val="0"/>
          <w:i w:val="0"/>
          <w:iCs w:val="0"/>
          <w:caps w:val="0"/>
          <w:color w:val="000000"/>
          <w:spacing w:val="0"/>
          <w:sz w:val="24"/>
          <w:szCs w:val="24"/>
        </w:rPr>
        <w:t>等工作的高素质复合型技术技能人才。”</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（二）课程体系与毕业要求的契合度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eastAsia" w:ascii="Times New Roman" w:hAnsi="Times New Roman" w:eastAsia="宋体" w:cs="Times New Roman"/>
          <w:b w:val="0"/>
          <w:bCs w:val="0"/>
          <w:i w:val="0"/>
          <w:iCs w:val="0"/>
          <w:caps w:val="0"/>
          <w:color w:val="000000"/>
          <w:spacing w:val="0"/>
          <w:sz w:val="24"/>
          <w:szCs w:val="24"/>
          <w:lang w:eastAsia="zh-CN"/>
        </w:rPr>
        <w:t>城市轨道交通</w:t>
      </w:r>
      <w:r>
        <w:rPr>
          <w:rFonts w:hint="default" w:ascii="Times New Roman" w:hAnsi="Times New Roman" w:eastAsia="宋体" w:cs="Times New Roman"/>
          <w:b w:val="0"/>
          <w:bCs w:val="0"/>
          <w:i w:val="0"/>
          <w:iCs w:val="0"/>
          <w:caps w:val="0"/>
          <w:color w:val="000000"/>
          <w:spacing w:val="0"/>
          <w:sz w:val="24"/>
          <w:szCs w:val="24"/>
        </w:rPr>
        <w:t>工程技术专业现有</w:t>
      </w:r>
      <w:r>
        <w:rPr>
          <w:rFonts w:hint="default" w:ascii="Times New Roman" w:hAnsi="Times New Roman" w:eastAsia="宋体" w:cs="Times New Roman"/>
          <w:b w:val="0"/>
          <w:bCs w:val="0"/>
          <w:i w:val="0"/>
          <w:iCs w:val="0"/>
          <w:caps w:val="0"/>
          <w:color w:val="000000"/>
          <w:spacing w:val="0"/>
          <w:sz w:val="24"/>
          <w:szCs w:val="24"/>
          <w:lang w:val="en-US" w:eastAsia="zh-CN"/>
        </w:rPr>
        <w:t>20</w:t>
      </w:r>
      <w:r>
        <w:rPr>
          <w:rFonts w:hint="default" w:ascii="Times New Roman" w:hAnsi="Times New Roman" w:eastAsia="宋体" w:cs="Times New Roman"/>
          <w:b w:val="0"/>
          <w:bCs w:val="0"/>
          <w:i w:val="0"/>
          <w:iCs w:val="0"/>
          <w:caps w:val="0"/>
          <w:color w:val="000000"/>
          <w:spacing w:val="0"/>
          <w:sz w:val="24"/>
          <w:szCs w:val="24"/>
        </w:rPr>
        <w:t>门专业</w:t>
      </w:r>
      <w:r>
        <w:rPr>
          <w:rFonts w:hint="default" w:ascii="Times New Roman" w:hAnsi="Times New Roman" w:eastAsia="宋体" w:cs="Times New Roman"/>
          <w:b w:val="0"/>
          <w:bCs w:val="0"/>
          <w:i w:val="0"/>
          <w:iCs w:val="0"/>
          <w:caps w:val="0"/>
          <w:color w:val="000000"/>
          <w:spacing w:val="0"/>
          <w:sz w:val="24"/>
          <w:szCs w:val="24"/>
          <w:lang w:val="en-US" w:eastAsia="zh-CN"/>
        </w:rPr>
        <w:t>技能</w:t>
      </w:r>
      <w:r>
        <w:rPr>
          <w:rFonts w:hint="default" w:ascii="Times New Roman" w:hAnsi="Times New Roman" w:eastAsia="宋体" w:cs="Times New Roman"/>
          <w:b w:val="0"/>
          <w:bCs w:val="0"/>
          <w:i w:val="0"/>
          <w:iCs w:val="0"/>
          <w:caps w:val="0"/>
          <w:color w:val="000000"/>
          <w:spacing w:val="0"/>
          <w:sz w:val="24"/>
          <w:szCs w:val="24"/>
        </w:rPr>
        <w:t>课程及教学环节。对每门课的要求层次划分为“很重要”、“重要”、“一般”和“不需要”四个级别，以此进行课程重要度的调查。</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lang w:eastAsia="zh-CN"/>
        </w:rPr>
      </w:pPr>
      <w:r>
        <w:rPr>
          <w:rFonts w:hint="default" w:ascii="Times New Roman" w:hAnsi="Times New Roman" w:eastAsia="宋体" w:cs="Times New Roman"/>
          <w:b w:val="0"/>
          <w:bCs w:val="0"/>
          <w:i w:val="0"/>
          <w:iCs w:val="0"/>
          <w:caps w:val="0"/>
          <w:color w:val="000000"/>
          <w:spacing w:val="0"/>
          <w:sz w:val="24"/>
          <w:szCs w:val="24"/>
        </w:rPr>
        <w:t>通过调查，结果显示</w:t>
      </w:r>
      <w:r>
        <w:rPr>
          <w:rFonts w:hint="eastAsia" w:ascii="Times New Roman" w:hAnsi="Times New Roman" w:eastAsia="宋体" w:cs="Times New Roman"/>
          <w:b w:val="0"/>
          <w:bCs w:val="0"/>
          <w:i w:val="0"/>
          <w:iCs w:val="0"/>
          <w:caps w:val="0"/>
          <w:color w:val="000000"/>
          <w:spacing w:val="0"/>
          <w:sz w:val="24"/>
          <w:szCs w:val="24"/>
          <w:lang w:eastAsia="zh-CN"/>
        </w:rPr>
        <w:t>城市轨道交通</w:t>
      </w:r>
      <w:r>
        <w:rPr>
          <w:rFonts w:hint="default" w:ascii="Times New Roman" w:hAnsi="Times New Roman" w:eastAsia="宋体" w:cs="Times New Roman"/>
          <w:b w:val="0"/>
          <w:bCs w:val="0"/>
          <w:i w:val="0"/>
          <w:iCs w:val="0"/>
          <w:caps w:val="0"/>
          <w:color w:val="000000"/>
          <w:spacing w:val="0"/>
          <w:sz w:val="24"/>
          <w:szCs w:val="24"/>
        </w:rPr>
        <w:t>工程技术专业现有的课程教学环节都需要开设，</w:t>
      </w:r>
      <w:r>
        <w:rPr>
          <w:rFonts w:hint="default" w:ascii="Times New Roman" w:hAnsi="Times New Roman" w:eastAsia="宋体" w:cs="Times New Roman"/>
          <w:b w:val="0"/>
          <w:bCs w:val="0"/>
          <w:i w:val="0"/>
          <w:iCs w:val="0"/>
          <w:caps w:val="0"/>
          <w:color w:val="000000"/>
          <w:spacing w:val="0"/>
          <w:sz w:val="24"/>
          <w:szCs w:val="24"/>
          <w:lang w:val="en-US" w:eastAsia="zh-CN"/>
        </w:rPr>
        <w:t>基本能</w:t>
      </w:r>
      <w:r>
        <w:rPr>
          <w:rFonts w:hint="default" w:ascii="Times New Roman" w:hAnsi="Times New Roman" w:eastAsia="宋体" w:cs="Times New Roman"/>
          <w:b w:val="0"/>
          <w:bCs w:val="0"/>
          <w:i w:val="0"/>
          <w:iCs w:val="0"/>
          <w:caps w:val="0"/>
          <w:color w:val="000000"/>
          <w:spacing w:val="0"/>
          <w:sz w:val="24"/>
          <w:szCs w:val="24"/>
        </w:rPr>
        <w:t>支撑毕业要求</w:t>
      </w:r>
      <w:r>
        <w:rPr>
          <w:rFonts w:hint="default"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rPr>
        <w:t>其中企业认为“很重要”和“重要”的课程及教学环节排名前</w:t>
      </w:r>
      <w:r>
        <w:rPr>
          <w:rFonts w:hint="eastAsia" w:ascii="Times New Roman" w:hAnsi="Times New Roman" w:eastAsia="宋体" w:cs="Times New Roman"/>
          <w:b w:val="0"/>
          <w:bCs w:val="0"/>
          <w:i w:val="0"/>
          <w:iCs w:val="0"/>
          <w:caps w:val="0"/>
          <w:color w:val="000000"/>
          <w:spacing w:val="0"/>
          <w:sz w:val="24"/>
          <w:szCs w:val="24"/>
          <w:lang w:eastAsia="zh-CN"/>
        </w:rPr>
        <w:t>九</w:t>
      </w:r>
      <w:r>
        <w:rPr>
          <w:rFonts w:hint="default" w:ascii="Times New Roman" w:hAnsi="Times New Roman" w:eastAsia="宋体" w:cs="Times New Roman"/>
          <w:b w:val="0"/>
          <w:bCs w:val="0"/>
          <w:i w:val="0"/>
          <w:iCs w:val="0"/>
          <w:caps w:val="0"/>
          <w:color w:val="000000"/>
          <w:spacing w:val="0"/>
          <w:sz w:val="24"/>
          <w:szCs w:val="24"/>
        </w:rPr>
        <w:t>位的依次是：</w:t>
      </w:r>
      <w:r>
        <w:rPr>
          <w:rFonts w:hint="default" w:ascii="Times New Roman" w:hAnsi="Times New Roman" w:eastAsia="宋体" w:cs="Times New Roman"/>
          <w:b w:val="0"/>
          <w:bCs w:val="0"/>
          <w:i w:val="0"/>
          <w:iCs w:val="0"/>
          <w:caps w:val="0"/>
          <w:color w:val="000000"/>
          <w:spacing w:val="0"/>
          <w:sz w:val="24"/>
          <w:szCs w:val="24"/>
          <w:lang w:eastAsia="zh-CN"/>
        </w:rPr>
        <w:t>“</w:t>
      </w:r>
      <w:r>
        <w:rPr>
          <w:rFonts w:hint="eastAsia" w:ascii="Times New Roman" w:hAnsi="Times New Roman" w:eastAsia="宋体" w:cs="Times New Roman"/>
          <w:b w:val="0"/>
          <w:bCs w:val="0"/>
          <w:i w:val="0"/>
          <w:iCs w:val="0"/>
          <w:caps w:val="0"/>
          <w:color w:val="000000"/>
          <w:spacing w:val="0"/>
          <w:sz w:val="24"/>
          <w:szCs w:val="24"/>
          <w:lang w:eastAsia="zh-CN"/>
        </w:rPr>
        <w:t>轨道工程计量与计价</w:t>
      </w:r>
      <w:r>
        <w:rPr>
          <w:rFonts w:hint="default" w:ascii="Times New Roman" w:hAnsi="Times New Roman" w:eastAsia="宋体" w:cs="Times New Roman"/>
          <w:b w:val="0"/>
          <w:bCs w:val="0"/>
          <w:i w:val="0"/>
          <w:iCs w:val="0"/>
          <w:caps w:val="0"/>
          <w:color w:val="000000"/>
          <w:spacing w:val="0"/>
          <w:sz w:val="24"/>
          <w:szCs w:val="24"/>
          <w:lang w:eastAsia="zh-CN"/>
        </w:rPr>
        <w:t>”、“</w:t>
      </w:r>
      <w:r>
        <w:rPr>
          <w:rFonts w:hint="eastAsia" w:ascii="Times New Roman" w:hAnsi="Times New Roman" w:eastAsia="宋体" w:cs="Times New Roman"/>
          <w:b w:val="0"/>
          <w:bCs w:val="0"/>
          <w:i w:val="0"/>
          <w:iCs w:val="0"/>
          <w:caps w:val="0"/>
          <w:color w:val="000000"/>
          <w:spacing w:val="0"/>
          <w:sz w:val="24"/>
          <w:szCs w:val="24"/>
          <w:lang w:eastAsia="zh-CN"/>
        </w:rPr>
        <w:t>路基工程施工</w:t>
      </w:r>
      <w:r>
        <w:rPr>
          <w:rFonts w:hint="default" w:ascii="Times New Roman" w:hAnsi="Times New Roman" w:eastAsia="宋体" w:cs="Times New Roman"/>
          <w:b w:val="0"/>
          <w:bCs w:val="0"/>
          <w:i w:val="0"/>
          <w:iCs w:val="0"/>
          <w:caps w:val="0"/>
          <w:color w:val="000000"/>
          <w:spacing w:val="0"/>
          <w:sz w:val="24"/>
          <w:szCs w:val="24"/>
          <w:lang w:eastAsia="zh-CN"/>
        </w:rPr>
        <w:t>”、“</w:t>
      </w:r>
      <w:r>
        <w:rPr>
          <w:rFonts w:hint="eastAsia" w:ascii="Times New Roman" w:hAnsi="Times New Roman" w:eastAsia="宋体" w:cs="Times New Roman"/>
          <w:b w:val="0"/>
          <w:bCs w:val="0"/>
          <w:i w:val="0"/>
          <w:iCs w:val="0"/>
          <w:caps w:val="0"/>
          <w:color w:val="000000"/>
          <w:spacing w:val="0"/>
          <w:sz w:val="24"/>
          <w:szCs w:val="24"/>
          <w:lang w:eastAsia="zh-CN"/>
        </w:rPr>
        <w:t>土力学与地基基础</w:t>
      </w:r>
      <w:r>
        <w:rPr>
          <w:rFonts w:hint="default" w:ascii="Times New Roman" w:hAnsi="Times New Roman" w:eastAsia="宋体" w:cs="Times New Roman"/>
          <w:b w:val="0"/>
          <w:bCs w:val="0"/>
          <w:i w:val="0"/>
          <w:iCs w:val="0"/>
          <w:caps w:val="0"/>
          <w:color w:val="000000"/>
          <w:spacing w:val="0"/>
          <w:sz w:val="24"/>
          <w:szCs w:val="24"/>
          <w:lang w:eastAsia="zh-CN"/>
        </w:rPr>
        <w:t>”、“工程测量”、“</w:t>
      </w:r>
      <w:r>
        <w:rPr>
          <w:rFonts w:hint="eastAsia" w:ascii="Times New Roman" w:hAnsi="Times New Roman" w:eastAsia="宋体" w:cs="Times New Roman"/>
          <w:b w:val="0"/>
          <w:bCs w:val="0"/>
          <w:i w:val="0"/>
          <w:iCs w:val="0"/>
          <w:caps w:val="0"/>
          <w:color w:val="000000"/>
          <w:spacing w:val="0"/>
          <w:sz w:val="24"/>
          <w:szCs w:val="24"/>
          <w:lang w:eastAsia="zh-CN"/>
        </w:rPr>
        <w:t>桥梁构造与施工</w:t>
      </w:r>
      <w:r>
        <w:rPr>
          <w:rFonts w:hint="default" w:ascii="Times New Roman" w:hAnsi="Times New Roman" w:eastAsia="宋体" w:cs="Times New Roman"/>
          <w:b w:val="0"/>
          <w:bCs w:val="0"/>
          <w:i w:val="0"/>
          <w:iCs w:val="0"/>
          <w:caps w:val="0"/>
          <w:color w:val="000000"/>
          <w:spacing w:val="0"/>
          <w:sz w:val="24"/>
          <w:szCs w:val="24"/>
          <w:lang w:eastAsia="zh-CN"/>
        </w:rPr>
        <w:t>”、“</w:t>
      </w:r>
      <w:r>
        <w:rPr>
          <w:rFonts w:hint="eastAsia" w:ascii="Times New Roman" w:hAnsi="Times New Roman" w:eastAsia="宋体" w:cs="Times New Roman"/>
          <w:b w:val="0"/>
          <w:bCs w:val="0"/>
          <w:i w:val="0"/>
          <w:iCs w:val="0"/>
          <w:caps w:val="0"/>
          <w:color w:val="000000"/>
          <w:spacing w:val="0"/>
          <w:sz w:val="24"/>
          <w:szCs w:val="24"/>
          <w:lang w:eastAsia="zh-CN"/>
        </w:rPr>
        <w:t>地下与隧道工程施工</w:t>
      </w:r>
      <w:r>
        <w:rPr>
          <w:rFonts w:hint="default" w:ascii="Times New Roman" w:hAnsi="Times New Roman" w:eastAsia="宋体" w:cs="Times New Roman"/>
          <w:b w:val="0"/>
          <w:bCs w:val="0"/>
          <w:i w:val="0"/>
          <w:iCs w:val="0"/>
          <w:caps w:val="0"/>
          <w:color w:val="000000"/>
          <w:spacing w:val="0"/>
          <w:sz w:val="24"/>
          <w:szCs w:val="24"/>
          <w:lang w:eastAsia="zh-CN"/>
        </w:rPr>
        <w:t>”</w:t>
      </w:r>
      <w:r>
        <w:rPr>
          <w:rFonts w:hint="eastAsia" w:ascii="Times New Roman" w:hAnsi="Times New Roman" w:eastAsia="宋体" w:cs="Times New Roman"/>
          <w:b w:val="0"/>
          <w:bCs w:val="0"/>
          <w:i w:val="0"/>
          <w:iCs w:val="0"/>
          <w:caps w:val="0"/>
          <w:color w:val="000000"/>
          <w:spacing w:val="0"/>
          <w:sz w:val="24"/>
          <w:szCs w:val="24"/>
          <w:lang w:eastAsia="zh-CN"/>
        </w:rPr>
        <w:t>、</w:t>
      </w:r>
      <w:r>
        <w:rPr>
          <w:rFonts w:hint="default" w:ascii="Times New Roman" w:hAnsi="Times New Roman" w:eastAsia="宋体" w:cs="Times New Roman"/>
          <w:b w:val="0"/>
          <w:bCs w:val="0"/>
          <w:i w:val="0"/>
          <w:iCs w:val="0"/>
          <w:caps w:val="0"/>
          <w:color w:val="000000"/>
          <w:spacing w:val="0"/>
          <w:sz w:val="24"/>
          <w:szCs w:val="24"/>
          <w:lang w:eastAsia="zh-CN"/>
        </w:rPr>
        <w:t>“工程CAD制图”、“</w:t>
      </w:r>
      <w:r>
        <w:rPr>
          <w:rFonts w:hint="eastAsia" w:ascii="Times New Roman" w:hAnsi="Times New Roman" w:eastAsia="宋体" w:cs="Times New Roman"/>
          <w:b w:val="0"/>
          <w:bCs w:val="0"/>
          <w:i w:val="0"/>
          <w:iCs w:val="0"/>
          <w:caps w:val="0"/>
          <w:color w:val="000000"/>
          <w:spacing w:val="0"/>
          <w:sz w:val="24"/>
          <w:szCs w:val="24"/>
          <w:lang w:eastAsia="zh-CN"/>
        </w:rPr>
        <w:t>工程项目管理</w:t>
      </w:r>
      <w:r>
        <w:rPr>
          <w:rFonts w:hint="default" w:ascii="Times New Roman" w:hAnsi="Times New Roman" w:eastAsia="宋体" w:cs="Times New Roman"/>
          <w:b w:val="0"/>
          <w:bCs w:val="0"/>
          <w:i w:val="0"/>
          <w:iCs w:val="0"/>
          <w:caps w:val="0"/>
          <w:color w:val="000000"/>
          <w:spacing w:val="0"/>
          <w:sz w:val="24"/>
          <w:szCs w:val="24"/>
          <w:lang w:eastAsia="zh-CN"/>
        </w:rPr>
        <w:t>”及“</w:t>
      </w:r>
      <w:r>
        <w:rPr>
          <w:rFonts w:hint="eastAsia" w:ascii="Times New Roman" w:hAnsi="Times New Roman" w:eastAsia="宋体" w:cs="Times New Roman"/>
          <w:b w:val="0"/>
          <w:bCs w:val="0"/>
          <w:i w:val="0"/>
          <w:iCs w:val="0"/>
          <w:caps w:val="0"/>
          <w:color w:val="000000"/>
          <w:spacing w:val="0"/>
          <w:sz w:val="24"/>
          <w:szCs w:val="24"/>
          <w:lang w:eastAsia="zh-CN"/>
        </w:rPr>
        <w:t>招投标与合同管理</w:t>
      </w:r>
      <w:r>
        <w:rPr>
          <w:rFonts w:hint="default" w:ascii="Times New Roman" w:hAnsi="Times New Roman" w:eastAsia="宋体" w:cs="Times New Roman"/>
          <w:b w:val="0"/>
          <w:bCs w:val="0"/>
          <w:i w:val="0"/>
          <w:iCs w:val="0"/>
          <w:caps w:val="0"/>
          <w:color w:val="000000"/>
          <w:spacing w:val="0"/>
          <w:sz w:val="24"/>
          <w:szCs w:val="24"/>
          <w:lang w:eastAsia="zh-CN"/>
        </w:rPr>
        <w:t>”专业核心课和重要的教学管理过程。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lang w:eastAsia="zh-CN"/>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（三）人才培养方案的规范性</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eastAsia" w:ascii="Times New Roman" w:hAnsi="Times New Roman" w:eastAsia="宋体" w:cs="Times New Roman"/>
          <w:b w:val="0"/>
          <w:bCs w:val="0"/>
          <w:i w:val="0"/>
          <w:iCs w:val="0"/>
          <w:caps w:val="0"/>
          <w:color w:val="000000"/>
          <w:spacing w:val="0"/>
          <w:sz w:val="24"/>
          <w:szCs w:val="24"/>
          <w:lang w:val="en-US" w:eastAsia="zh-CN"/>
        </w:rPr>
        <w:t>城市轨道交通</w:t>
      </w:r>
      <w:r>
        <w:rPr>
          <w:rFonts w:hint="default" w:ascii="Times New Roman" w:hAnsi="Times New Roman" w:eastAsia="宋体" w:cs="Times New Roman"/>
          <w:b w:val="0"/>
          <w:bCs w:val="0"/>
          <w:i w:val="0"/>
          <w:iCs w:val="0"/>
          <w:caps w:val="0"/>
          <w:color w:val="000000"/>
          <w:spacing w:val="0"/>
          <w:sz w:val="24"/>
          <w:szCs w:val="24"/>
          <w:lang w:val="en-US" w:eastAsia="zh-CN"/>
        </w:rPr>
        <w:t>工程技术专业形象人才培养方案是根据《国家职业教育改革实施方案》（国发〔2019〕4号）、《教育部关于职业院校专业人才培养方案制订与实施工作的指导意见》（教职成〔2019〕13号）、《教育部关于印发&lt;职业教育专业目录（2021年）&gt;的通知》（教职成〔2021〕2号）、《高等职业学校专业教学标准》和《职业学校学生实习管理规定》（教职成〔2021〕4号）等文件精神，依据职业教育国家教学标准，结合学院办学定位和实际需求而制定的，</w:t>
      </w:r>
      <w:r>
        <w:rPr>
          <w:rFonts w:hint="default" w:ascii="Times New Roman" w:hAnsi="Times New Roman" w:eastAsia="宋体" w:cs="Times New Roman"/>
          <w:b w:val="0"/>
          <w:bCs w:val="0"/>
          <w:i w:val="0"/>
          <w:iCs w:val="0"/>
          <w:caps w:val="0"/>
          <w:color w:val="000000"/>
          <w:spacing w:val="0"/>
          <w:sz w:val="24"/>
          <w:szCs w:val="24"/>
        </w:rPr>
        <w:t>规范性</w:t>
      </w:r>
      <w:r>
        <w:rPr>
          <w:rFonts w:hint="default" w:ascii="Times New Roman" w:hAnsi="Times New Roman" w:eastAsia="宋体" w:cs="Times New Roman"/>
          <w:b w:val="0"/>
          <w:bCs w:val="0"/>
          <w:i w:val="0"/>
          <w:iCs w:val="0"/>
          <w:caps w:val="0"/>
          <w:color w:val="000000"/>
          <w:spacing w:val="0"/>
          <w:sz w:val="24"/>
          <w:szCs w:val="24"/>
          <w:lang w:val="en-US" w:eastAsia="zh-CN"/>
        </w:rPr>
        <w:t>满足要求。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eastAsia" w:ascii="Times New Roman" w:hAnsi="Times New Roman" w:eastAsia="宋体" w:cs="Times New Roman"/>
          <w:b w:val="0"/>
          <w:bCs w:val="0"/>
          <w:i w:val="0"/>
          <w:iCs w:val="0"/>
          <w:caps w:val="0"/>
          <w:color w:val="000000"/>
          <w:spacing w:val="0"/>
          <w:sz w:val="24"/>
          <w:szCs w:val="24"/>
          <w:lang w:val="en-US" w:eastAsia="zh-CN"/>
        </w:rPr>
        <w:t>城市轨道交通</w:t>
      </w:r>
      <w:r>
        <w:rPr>
          <w:rFonts w:hint="default" w:ascii="Times New Roman" w:hAnsi="Times New Roman" w:eastAsia="宋体" w:cs="Times New Roman"/>
          <w:b w:val="0"/>
          <w:bCs w:val="0"/>
          <w:i w:val="0"/>
          <w:iCs w:val="0"/>
          <w:caps w:val="0"/>
          <w:color w:val="000000"/>
          <w:spacing w:val="0"/>
          <w:sz w:val="24"/>
          <w:szCs w:val="24"/>
          <w:lang w:val="en-US" w:eastAsia="zh-CN"/>
        </w:rPr>
        <w:t>工程技术专业形象人才培养方案基本符合高等职业学校</w:t>
      </w:r>
      <w:r>
        <w:rPr>
          <w:rFonts w:hint="eastAsia" w:ascii="Times New Roman" w:hAnsi="Times New Roman" w:eastAsia="宋体" w:cs="Times New Roman"/>
          <w:b w:val="0"/>
          <w:bCs w:val="0"/>
          <w:i w:val="0"/>
          <w:iCs w:val="0"/>
          <w:caps w:val="0"/>
          <w:color w:val="000000"/>
          <w:spacing w:val="0"/>
          <w:sz w:val="24"/>
          <w:szCs w:val="24"/>
          <w:lang w:val="en-US" w:eastAsia="zh-CN"/>
        </w:rPr>
        <w:t>城市轨道交通</w:t>
      </w:r>
      <w:r>
        <w:rPr>
          <w:rFonts w:hint="default" w:ascii="Times New Roman" w:hAnsi="Times New Roman" w:eastAsia="宋体" w:cs="Times New Roman"/>
          <w:b w:val="0"/>
          <w:bCs w:val="0"/>
          <w:i w:val="0"/>
          <w:iCs w:val="0"/>
          <w:caps w:val="0"/>
          <w:color w:val="000000"/>
          <w:spacing w:val="0"/>
          <w:sz w:val="24"/>
          <w:szCs w:val="24"/>
          <w:lang w:val="en-US" w:eastAsia="zh-CN"/>
        </w:rPr>
        <w:t>工程技术专业教学标准要求，核心课程中4门是完全一致，3门课程相近，且更符合本学院学生学情和岗位需求。</w:t>
      </w:r>
    </w:p>
    <w:p>
      <w:pPr>
        <w:numPr>
          <w:ilvl w:val="0"/>
          <w:numId w:val="1"/>
        </w:num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调研结果分析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eastAsia="宋体" w:cs="Times New Roman"/>
          <w:b/>
          <w:bCs/>
          <w:sz w:val="30"/>
          <w:szCs w:val="30"/>
        </w:rPr>
      </w:pPr>
      <w:r>
        <w:rPr>
          <w:rFonts w:hint="default" w:ascii="Times New Roman" w:hAnsi="Times New Roman" w:eastAsia="宋体" w:cs="Times New Roman"/>
          <w:b w:val="0"/>
          <w:bCs w:val="0"/>
          <w:i w:val="0"/>
          <w:iCs w:val="0"/>
          <w:caps w:val="0"/>
          <w:color w:val="000000"/>
          <w:spacing w:val="0"/>
          <w:sz w:val="24"/>
          <w:szCs w:val="24"/>
        </w:rPr>
        <w:t>从调查问卷和实际调查的统计情况看，目前的毕业生存在的问题突出表现在有知识不会用，有想法不会创新两个方面。用人单位强调，随着人才竞争的不断加强，各相同专业院校培养人才激增，专业岗位竞争能力增强，用人单位不仅仅重视学生的专业技能知识，更重视学生的应用能力、更重视学到发现问题、解决问题的能力。希望学院拓宽学生的知识面，加强理论知识与实践操作的转换能力，注重对学生的创新意识与开拓精神的培养，提高他们的应变能力、公关能力、协调能力、口头表达能力和服务意识等等，以提高毕业生的综合素质，成为一个各方面全面发展、不断适应环境和新形式的挑战。</w:t>
      </w:r>
    </w:p>
    <w:p>
      <w:pPr>
        <w:spacing w:line="360" w:lineRule="auto"/>
        <w:ind w:firstLine="675" w:firstLineChars="224"/>
        <w:outlineLvl w:val="0"/>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五、调研结论及对策建议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（一）培养方案修订的思路</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1.专业定位</w:t>
      </w:r>
    </w:p>
    <w:p>
      <w:pPr>
        <w:spacing w:line="360" w:lineRule="auto"/>
        <w:ind w:firstLine="480" w:firstLineChars="200"/>
        <w:rPr>
          <w:rFonts w:hint="eastAsia" w:ascii="宋体" w:hAnsi="宋体" w:cs="宋体"/>
          <w:sz w:val="24"/>
        </w:rPr>
      </w:pPr>
      <w:r>
        <w:rPr>
          <w:rFonts w:hint="eastAsia" w:ascii="Times New Roman" w:hAnsi="Times New Roman" w:eastAsia="宋体" w:cs="Times New Roman"/>
          <w:b w:val="0"/>
          <w:bCs w:val="0"/>
          <w:i w:val="0"/>
          <w:iCs w:val="0"/>
          <w:caps w:val="0"/>
          <w:color w:val="000000"/>
          <w:spacing w:val="0"/>
          <w:sz w:val="24"/>
          <w:szCs w:val="24"/>
          <w:lang w:val="en-US" w:eastAsia="zh-CN"/>
        </w:rPr>
        <w:t>城市轨道交通</w:t>
      </w:r>
      <w:r>
        <w:rPr>
          <w:rFonts w:hint="default" w:ascii="Times New Roman" w:hAnsi="Times New Roman" w:eastAsia="宋体" w:cs="Times New Roman"/>
          <w:b w:val="0"/>
          <w:bCs w:val="0"/>
          <w:i w:val="0"/>
          <w:iCs w:val="0"/>
          <w:caps w:val="0"/>
          <w:color w:val="000000"/>
          <w:spacing w:val="0"/>
          <w:sz w:val="24"/>
          <w:szCs w:val="24"/>
          <w:lang w:val="en-US" w:eastAsia="zh-CN"/>
        </w:rPr>
        <w:t>工程技术专业</w:t>
      </w:r>
      <w:r>
        <w:rPr>
          <w:rFonts w:hint="eastAsia" w:ascii="宋体" w:hAnsi="宋体" w:cs="宋体"/>
          <w:sz w:val="24"/>
        </w:rPr>
        <w:t>主</w:t>
      </w:r>
      <w:r>
        <w:rPr>
          <w:rFonts w:hint="eastAsia" w:ascii="宋体" w:hAnsi="宋体" w:cs="宋体"/>
          <w:sz w:val="24"/>
          <w:lang w:eastAsia="zh-CN"/>
        </w:rPr>
        <w:t>要</w:t>
      </w:r>
      <w:r>
        <w:rPr>
          <w:rFonts w:hint="eastAsia" w:ascii="宋体" w:hAnsi="宋体" w:cs="宋体"/>
          <w:sz w:val="24"/>
        </w:rPr>
        <w:t>培养德、智、体、美、劳全面发展，具有良好职业道德和人文素养，掌握</w:t>
      </w:r>
      <w:r>
        <w:rPr>
          <w:rFonts w:hint="eastAsia" w:ascii="宋体" w:hAnsi="宋体" w:cs="宋体"/>
          <w:sz w:val="24"/>
          <w:lang w:eastAsia="zh-CN"/>
        </w:rPr>
        <w:t>城市轨道交通工程技术</w:t>
      </w:r>
      <w:r>
        <w:rPr>
          <w:rFonts w:hint="eastAsia" w:ascii="宋体" w:hAnsi="宋体" w:cs="宋体"/>
          <w:sz w:val="24"/>
        </w:rPr>
        <w:t>专业必备基本知识，具备</w:t>
      </w:r>
      <w:r>
        <w:rPr>
          <w:rFonts w:hint="eastAsia" w:ascii="宋体" w:hAnsi="宋体" w:cs="宋体"/>
          <w:sz w:val="24"/>
          <w:lang w:eastAsia="zh-CN"/>
        </w:rPr>
        <w:t>城轨</w:t>
      </w:r>
      <w:r>
        <w:rPr>
          <w:rFonts w:hint="eastAsia" w:ascii="宋体" w:hAnsi="宋体" w:cs="宋体"/>
          <w:sz w:val="24"/>
        </w:rPr>
        <w:t>工程施工及管理，内业资料整理、工程监理、测量放线，施工组织设计及编制工程概预算等能力，从事施工现场施工员、技术员、安全员、预算员、资料员等工作</w:t>
      </w:r>
      <w:r>
        <w:rPr>
          <w:rFonts w:hint="eastAsia" w:ascii="宋体" w:hAnsi="宋体" w:cs="宋体"/>
          <w:sz w:val="24"/>
          <w:lang w:eastAsia="zh-CN"/>
        </w:rPr>
        <w:t>，主动服务环渤海、一带一路、京津冀协同发展、雄安新区建设等国家战略和河北省发展需要的高素质复合型</w:t>
      </w:r>
      <w:r>
        <w:rPr>
          <w:rFonts w:hint="eastAsia" w:ascii="宋体" w:hAnsi="宋体" w:eastAsia="宋体" w:cs="宋体"/>
          <w:sz w:val="24"/>
          <w:szCs w:val="24"/>
          <w:lang w:val="en-US" w:eastAsia="zh-CN"/>
        </w:rPr>
        <w:t>技术技能</w:t>
      </w:r>
      <w:r>
        <w:rPr>
          <w:rFonts w:hint="eastAsia" w:ascii="宋体" w:hAnsi="宋体" w:cs="宋体"/>
          <w:sz w:val="24"/>
        </w:rPr>
        <w:t>人才。</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2.毕业要求</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lang w:val="en-US" w:eastAsia="zh-CN"/>
        </w:rPr>
        <w:t>学生通过3年的学习，修满专业人才培养方案所规定的17</w:t>
      </w:r>
      <w:r>
        <w:rPr>
          <w:rFonts w:hint="eastAsia" w:ascii="Times New Roman" w:hAnsi="Times New Roman" w:eastAsia="宋体" w:cs="Times New Roman"/>
          <w:b w:val="0"/>
          <w:bCs w:val="0"/>
          <w:i w:val="0"/>
          <w:iCs w:val="0"/>
          <w:caps w:val="0"/>
          <w:color w:val="000000"/>
          <w:spacing w:val="0"/>
          <w:sz w:val="24"/>
          <w:szCs w:val="24"/>
          <w:lang w:val="en-US" w:eastAsia="zh-CN"/>
        </w:rPr>
        <w:t>0</w:t>
      </w:r>
      <w:r>
        <w:rPr>
          <w:rFonts w:hint="default" w:ascii="Times New Roman" w:hAnsi="Times New Roman" w:eastAsia="宋体" w:cs="Times New Roman"/>
          <w:b w:val="0"/>
          <w:bCs w:val="0"/>
          <w:i w:val="0"/>
          <w:iCs w:val="0"/>
          <w:caps w:val="0"/>
          <w:color w:val="000000"/>
          <w:spacing w:val="0"/>
          <w:sz w:val="24"/>
          <w:szCs w:val="24"/>
          <w:lang w:val="en-US" w:eastAsia="zh-CN"/>
        </w:rPr>
        <w:t>.5学分，达到本专业人才培养目标和培养规格的要求。鼓励应运用大数据等信息化手段记录、分析学生成长记录档案、职业素养达标等方面的内容，纳入综合素质考核，并将考核情况作为是否准予毕业的重要依据。</w:t>
      </w:r>
    </w:p>
    <w:p>
      <w:pPr>
        <w:pStyle w:val="5"/>
        <w:keepNext w:val="0"/>
        <w:keepLines w:val="0"/>
        <w:pageBreakBefore w:val="0"/>
        <w:widowControl/>
        <w:numPr>
          <w:ilvl w:val="0"/>
          <w:numId w:val="2"/>
        </w:numPr>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r>
        <w:rPr>
          <w:rFonts w:hint="default" w:ascii="Times New Roman" w:hAnsi="Times New Roman" w:eastAsia="宋体" w:cs="Times New Roman"/>
          <w:b w:val="0"/>
          <w:bCs w:val="0"/>
          <w:i w:val="0"/>
          <w:iCs w:val="0"/>
          <w:caps w:val="0"/>
          <w:color w:val="000000"/>
          <w:spacing w:val="0"/>
          <w:sz w:val="24"/>
          <w:szCs w:val="24"/>
        </w:rPr>
        <w:t>课程安排</w:t>
      </w:r>
    </w:p>
    <w:tbl>
      <w:tblPr>
        <w:tblStyle w:val="6"/>
        <w:tblpPr w:leftFromText="180" w:rightFromText="180" w:vertAnchor="text" w:horzAnchor="page" w:tblpXSpec="center" w:tblpY="1085"/>
        <w:tblOverlap w:val="never"/>
        <w:tblW w:w="9377" w:type="dxa"/>
        <w:jc w:val="center"/>
        <w:tblLayout w:type="fixed"/>
        <w:tblCellMar>
          <w:top w:w="0" w:type="dxa"/>
          <w:left w:w="0" w:type="dxa"/>
          <w:bottom w:w="0" w:type="dxa"/>
          <w:right w:w="0" w:type="dxa"/>
        </w:tblCellMar>
      </w:tblPr>
      <w:tblGrid>
        <w:gridCol w:w="298"/>
        <w:gridCol w:w="435"/>
        <w:gridCol w:w="470"/>
        <w:gridCol w:w="426"/>
        <w:gridCol w:w="2242"/>
        <w:gridCol w:w="832"/>
        <w:gridCol w:w="809"/>
        <w:gridCol w:w="1040"/>
        <w:gridCol w:w="2825"/>
      </w:tblGrid>
      <w:tr>
        <w:tblPrEx>
          <w:tblCellMar>
            <w:top w:w="0" w:type="dxa"/>
            <w:left w:w="0" w:type="dxa"/>
            <w:bottom w:w="0" w:type="dxa"/>
            <w:right w:w="0" w:type="dxa"/>
          </w:tblCellMar>
        </w:tblPrEx>
        <w:trPr>
          <w:trHeight w:val="1348" w:hRule="atLeast"/>
          <w:jc w:val="center"/>
        </w:trPr>
        <w:tc>
          <w:tcPr>
            <w:tcW w:w="29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分类</w:t>
            </w: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序号</w:t>
            </w:r>
          </w:p>
        </w:tc>
        <w:tc>
          <w:tcPr>
            <w:tcW w:w="470" w:type="dxa"/>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课程模块</w:t>
            </w:r>
          </w:p>
        </w:tc>
        <w:tc>
          <w:tcPr>
            <w:tcW w:w="42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课程性质</w:t>
            </w:r>
          </w:p>
        </w:tc>
        <w:tc>
          <w:tcPr>
            <w:tcW w:w="224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课程名称</w:t>
            </w:r>
          </w:p>
        </w:tc>
        <w:tc>
          <w:tcPr>
            <w:tcW w:w="832" w:type="dxa"/>
            <w:tcBorders>
              <w:top w:val="single" w:color="auto" w:sz="4" w:space="0"/>
              <w:left w:val="single" w:color="auto" w:sz="4" w:space="0"/>
              <w:bottom w:val="single" w:color="auto" w:sz="4" w:space="0"/>
              <w:right w:val="single" w:color="auto" w:sz="4" w:space="0"/>
            </w:tcBorders>
            <w:noWrap w:val="0"/>
            <w:vAlign w:val="center"/>
          </w:tcPr>
          <w:p>
            <w:pPr>
              <w:bidi w:val="0"/>
              <w:jc w:val="center"/>
              <w:rPr>
                <w:rFonts w:hint="eastAsia"/>
                <w:lang w:val="en-US" w:eastAsia="zh-CN"/>
              </w:rPr>
            </w:pPr>
            <w:r>
              <w:rPr>
                <w:rFonts w:hint="eastAsia"/>
                <w:lang w:val="en-US" w:eastAsia="zh-CN"/>
              </w:rPr>
              <w:t>学分</w:t>
            </w:r>
          </w:p>
        </w:tc>
        <w:tc>
          <w:tcPr>
            <w:tcW w:w="809" w:type="dxa"/>
            <w:tcBorders>
              <w:top w:val="single" w:color="auto" w:sz="4" w:space="0"/>
              <w:left w:val="single" w:color="auto" w:sz="4" w:space="0"/>
              <w:bottom w:val="single" w:color="auto" w:sz="4" w:space="0"/>
              <w:right w:val="single" w:color="auto" w:sz="4" w:space="0"/>
            </w:tcBorders>
            <w:noWrap w:val="0"/>
            <w:vAlign w:val="center"/>
          </w:tcPr>
          <w:p>
            <w:pPr>
              <w:bidi w:val="0"/>
              <w:jc w:val="center"/>
              <w:rPr>
                <w:rFonts w:hint="eastAsia"/>
                <w:lang w:val="en-US" w:eastAsia="zh-CN"/>
              </w:rPr>
            </w:pPr>
            <w:r>
              <w:rPr>
                <w:rFonts w:hint="eastAsia"/>
                <w:lang w:val="en-US" w:eastAsia="zh-CN"/>
              </w:rPr>
              <w:t>周学时</w:t>
            </w:r>
          </w:p>
        </w:tc>
        <w:tc>
          <w:tcPr>
            <w:tcW w:w="1040" w:type="dxa"/>
            <w:tcBorders>
              <w:top w:val="single" w:color="auto" w:sz="4" w:space="0"/>
              <w:left w:val="single" w:color="auto" w:sz="4" w:space="0"/>
              <w:bottom w:val="single" w:color="auto" w:sz="4" w:space="0"/>
              <w:right w:val="single" w:color="auto" w:sz="4" w:space="0"/>
            </w:tcBorders>
            <w:noWrap w:val="0"/>
            <w:vAlign w:val="center"/>
          </w:tcPr>
          <w:p>
            <w:pPr>
              <w:bidi w:val="0"/>
              <w:jc w:val="center"/>
              <w:rPr>
                <w:rFonts w:hint="eastAsia"/>
                <w:lang w:val="en-US" w:eastAsia="zh-CN"/>
              </w:rPr>
            </w:pPr>
            <w:r>
              <w:rPr>
                <w:rFonts w:hint="eastAsia"/>
                <w:lang w:val="en-US" w:eastAsia="zh-CN"/>
              </w:rPr>
              <w:t>开设学期</w:t>
            </w:r>
          </w:p>
        </w:tc>
        <w:tc>
          <w:tcPr>
            <w:tcW w:w="28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p>
            <w:pPr>
              <w:bidi w:val="0"/>
              <w:rPr>
                <w:rFonts w:hint="eastAsia" w:ascii="Calibri" w:hAnsi="Calibri" w:eastAsia="宋体" w:cs="Times New Roman"/>
                <w:kern w:val="2"/>
                <w:sz w:val="21"/>
                <w:szCs w:val="22"/>
                <w:lang w:val="en-US" w:eastAsia="zh-CN" w:bidi="ar-SA"/>
              </w:rPr>
            </w:pPr>
          </w:p>
          <w:p>
            <w:pPr>
              <w:bidi w:val="0"/>
              <w:jc w:val="center"/>
              <w:rPr>
                <w:rFonts w:hint="eastAsia"/>
                <w:lang w:val="en-US" w:eastAsia="zh-CN"/>
              </w:rPr>
            </w:pPr>
            <w:r>
              <w:rPr>
                <w:rFonts w:hint="eastAsia"/>
                <w:lang w:val="en-US" w:eastAsia="zh-CN"/>
              </w:rPr>
              <w:t>备注</w:t>
            </w:r>
          </w:p>
        </w:tc>
      </w:tr>
      <w:tr>
        <w:tblPrEx>
          <w:tblCellMar>
            <w:top w:w="0" w:type="dxa"/>
            <w:left w:w="0" w:type="dxa"/>
            <w:bottom w:w="0" w:type="dxa"/>
            <w:right w:w="0" w:type="dxa"/>
          </w:tblCellMar>
        </w:tblPrEx>
        <w:trPr>
          <w:trHeight w:val="523" w:hRule="atLeast"/>
          <w:jc w:val="center"/>
        </w:trPr>
        <w:tc>
          <w:tcPr>
            <w:tcW w:w="29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公共基础课</w:t>
            </w:r>
          </w:p>
        </w:tc>
        <w:tc>
          <w:tcPr>
            <w:tcW w:w="43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470" w:type="dxa"/>
            <w:vMerge w:val="restart"/>
            <w:tcBorders>
              <w:top w:val="single" w:color="auto" w:sz="4" w:space="0"/>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政治素养</w:t>
            </w:r>
          </w:p>
        </w:tc>
        <w:tc>
          <w:tcPr>
            <w:tcW w:w="426" w:type="dxa"/>
            <w:vMerge w:val="restart"/>
            <w:tcBorders>
              <w:top w:val="single" w:color="auto" w:sz="4" w:space="0"/>
              <w:left w:val="nil"/>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必修课</w:t>
            </w:r>
          </w:p>
        </w:tc>
        <w:tc>
          <w:tcPr>
            <w:tcW w:w="2242" w:type="dxa"/>
            <w:tcBorders>
              <w:top w:val="single" w:color="auto" w:sz="4" w:space="0"/>
              <w:left w:val="nil"/>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入学教育及军训</w:t>
            </w:r>
          </w:p>
        </w:tc>
        <w:tc>
          <w:tcPr>
            <w:tcW w:w="832" w:type="dxa"/>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809" w:type="dxa"/>
            <w:tcBorders>
              <w:top w:val="nil"/>
              <w:left w:val="nil"/>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val="en-US" w:eastAsia="zh-CN"/>
              </w:rPr>
            </w:pPr>
          </w:p>
        </w:tc>
        <w:tc>
          <w:tcPr>
            <w:tcW w:w="1040" w:type="dxa"/>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2825" w:type="dxa"/>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入学前3周，共计112学时，学分2学分</w:t>
            </w: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70" w:type="dxa"/>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军事理论</w:t>
            </w:r>
          </w:p>
        </w:tc>
        <w:tc>
          <w:tcPr>
            <w:tcW w:w="832" w:type="dxa"/>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809" w:type="dxa"/>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040" w:type="dxa"/>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2825" w:type="dxa"/>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理论学时</w:t>
            </w:r>
            <w:r>
              <w:rPr>
                <w:rFonts w:hint="eastAsia" w:ascii="宋体" w:hAnsi="宋体" w:eastAsia="宋体" w:cs="宋体"/>
                <w:kern w:val="0"/>
                <w:sz w:val="18"/>
                <w:szCs w:val="18"/>
                <w:lang w:val="en-US" w:eastAsia="zh-CN"/>
              </w:rPr>
              <w:t>36学时，学分2学分</w:t>
            </w: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3</w:t>
            </w:r>
          </w:p>
        </w:tc>
        <w:tc>
          <w:tcPr>
            <w:tcW w:w="470" w:type="dxa"/>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形势与政策</w:t>
            </w:r>
          </w:p>
        </w:tc>
        <w:tc>
          <w:tcPr>
            <w:tcW w:w="832"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809"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18"/>
                <w:szCs w:val="18"/>
                <w:lang w:val="en-US" w:eastAsia="zh-CN"/>
              </w:rPr>
            </w:pPr>
          </w:p>
        </w:tc>
        <w:tc>
          <w:tcPr>
            <w:tcW w:w="1040"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1-4</w:t>
            </w:r>
          </w:p>
        </w:tc>
        <w:tc>
          <w:tcPr>
            <w:tcW w:w="2825"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1-4学期每学期开设8学时，总计学分4学分</w:t>
            </w: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470" w:type="dxa"/>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rPr>
              <w:t>思想道德</w:t>
            </w:r>
            <w:r>
              <w:rPr>
                <w:rFonts w:hint="eastAsia" w:ascii="宋体" w:hAnsi="宋体" w:eastAsia="宋体" w:cs="宋体"/>
                <w:kern w:val="0"/>
                <w:sz w:val="18"/>
                <w:szCs w:val="18"/>
                <w:lang w:eastAsia="zh-CN"/>
              </w:rPr>
              <w:t>与法</w:t>
            </w:r>
            <w:r>
              <w:rPr>
                <w:rFonts w:hint="eastAsia" w:ascii="宋体" w:hAnsi="宋体" w:eastAsia="宋体" w:cs="宋体"/>
                <w:kern w:val="0"/>
                <w:sz w:val="18"/>
                <w:szCs w:val="18"/>
                <w:lang w:val="en-US" w:eastAsia="zh-CN"/>
              </w:rPr>
              <w:t>治</w:t>
            </w:r>
          </w:p>
        </w:tc>
        <w:tc>
          <w:tcPr>
            <w:tcW w:w="832" w:type="dxa"/>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809" w:type="dxa"/>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1040" w:type="dxa"/>
            <w:tcBorders>
              <w:top w:val="nil"/>
              <w:left w:val="nil"/>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val="en-US" w:eastAsia="zh-CN"/>
              </w:rPr>
            </w:pPr>
          </w:p>
        </w:tc>
        <w:tc>
          <w:tcPr>
            <w:tcW w:w="2825" w:type="dxa"/>
            <w:tcBorders>
              <w:top w:val="nil"/>
              <w:left w:val="nil"/>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3学分</w:t>
            </w:r>
          </w:p>
        </w:tc>
      </w:tr>
      <w:tr>
        <w:tblPrEx>
          <w:tblCellMar>
            <w:top w:w="0" w:type="dxa"/>
            <w:left w:w="0" w:type="dxa"/>
            <w:bottom w:w="0" w:type="dxa"/>
            <w:right w:w="0" w:type="dxa"/>
          </w:tblCellMar>
        </w:tblPrEx>
        <w:trPr>
          <w:trHeight w:val="317"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470" w:type="dxa"/>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毛泽东思想和中国特色社会主义理论体系概论</w:t>
            </w:r>
          </w:p>
        </w:tc>
        <w:tc>
          <w:tcPr>
            <w:tcW w:w="832"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809"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040"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w:t>
            </w:r>
          </w:p>
        </w:tc>
        <w:tc>
          <w:tcPr>
            <w:tcW w:w="282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p>
        </w:tc>
      </w:tr>
      <w:tr>
        <w:tblPrEx>
          <w:tblCellMar>
            <w:top w:w="0" w:type="dxa"/>
            <w:left w:w="0" w:type="dxa"/>
            <w:bottom w:w="0" w:type="dxa"/>
            <w:right w:w="0" w:type="dxa"/>
          </w:tblCellMar>
        </w:tblPrEx>
        <w:trPr>
          <w:trHeight w:val="317" w:hRule="atLeast"/>
          <w:jc w:val="center"/>
        </w:trPr>
        <w:tc>
          <w:tcPr>
            <w:tcW w:w="298" w:type="dxa"/>
            <w:vMerge w:val="continue"/>
            <w:tcBorders>
              <w:left w:val="single" w:color="auto" w:sz="4" w:space="0"/>
              <w:bottom w:val="single" w:color="auto" w:sz="4" w:space="0"/>
              <w:right w:val="single" w:color="auto" w:sz="4" w:space="0"/>
            </w:tcBorders>
            <w:noWrap w:val="0"/>
            <w:vAlign w:val="center"/>
          </w:tcPr>
          <w:p>
            <w:pPr>
              <w:widowControl/>
              <w:jc w:val="center"/>
            </w:pP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eastAsia="宋体"/>
                <w:lang w:eastAsia="zh-CN"/>
              </w:rPr>
            </w:pPr>
            <w:r>
              <w:rPr>
                <w:rFonts w:hint="eastAsia" w:ascii="宋体" w:hAnsi="宋体" w:eastAsia="宋体" w:cs="宋体"/>
                <w:kern w:val="0"/>
                <w:sz w:val="18"/>
                <w:szCs w:val="18"/>
                <w:lang w:val="en-US" w:eastAsia="zh-CN"/>
              </w:rPr>
              <w:t>6</w:t>
            </w:r>
          </w:p>
        </w:tc>
        <w:tc>
          <w:tcPr>
            <w:tcW w:w="470" w:type="dxa"/>
            <w:vMerge w:val="continue"/>
            <w:tcBorders>
              <w:left w:val="single" w:color="auto" w:sz="4" w:space="0"/>
              <w:bottom w:val="single" w:color="auto" w:sz="4" w:space="0"/>
              <w:right w:val="single" w:color="auto" w:sz="4" w:space="0"/>
            </w:tcBorders>
            <w:noWrap w:val="0"/>
            <w:vAlign w:val="center"/>
          </w:tcPr>
          <w:p>
            <w:pPr>
              <w:widowControl/>
              <w:jc w:val="center"/>
            </w:pPr>
          </w:p>
        </w:tc>
        <w:tc>
          <w:tcPr>
            <w:tcW w:w="426" w:type="dxa"/>
            <w:vMerge w:val="continue"/>
            <w:tcBorders>
              <w:left w:val="nil"/>
              <w:right w:val="single" w:color="auto" w:sz="4" w:space="0"/>
            </w:tcBorders>
            <w:noWrap w:val="0"/>
            <w:vAlign w:val="center"/>
          </w:tcPr>
          <w:p>
            <w:pPr>
              <w:widowControl/>
              <w:jc w:val="center"/>
            </w:pPr>
          </w:p>
        </w:tc>
        <w:tc>
          <w:tcPr>
            <w:tcW w:w="2242"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习近平新时代中国特色社会主义思想</w:t>
            </w:r>
          </w:p>
        </w:tc>
        <w:tc>
          <w:tcPr>
            <w:tcW w:w="832"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w:t>
            </w:r>
          </w:p>
        </w:tc>
        <w:tc>
          <w:tcPr>
            <w:tcW w:w="809"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w:t>
            </w:r>
          </w:p>
        </w:tc>
        <w:tc>
          <w:tcPr>
            <w:tcW w:w="1040" w:type="dxa"/>
            <w:tcBorders>
              <w:top w:val="nil"/>
              <w:left w:val="nil"/>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3</w:t>
            </w:r>
          </w:p>
        </w:tc>
        <w:tc>
          <w:tcPr>
            <w:tcW w:w="282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266" w:hRule="atLeast"/>
          <w:jc w:val="center"/>
        </w:trPr>
        <w:tc>
          <w:tcPr>
            <w:tcW w:w="298" w:type="dxa"/>
            <w:vMerge w:val="continue"/>
            <w:tcBorders>
              <w:left w:val="single" w:color="auto" w:sz="4" w:space="0"/>
              <w:bottom w:val="single" w:color="auto" w:sz="4" w:space="0"/>
              <w:right w:val="single" w:color="auto" w:sz="4" w:space="0"/>
            </w:tcBorders>
            <w:noWrap w:val="0"/>
            <w:vAlign w:val="center"/>
          </w:tcPr>
          <w:p>
            <w:pPr>
              <w:widowControl/>
              <w:jc w:val="center"/>
            </w:pP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470" w:type="dxa"/>
            <w:vMerge w:val="restart"/>
            <w:tcBorders>
              <w:left w:val="single" w:color="auto" w:sz="4" w:space="0"/>
              <w:right w:val="single" w:color="auto" w:sz="4" w:space="0"/>
            </w:tcBorders>
            <w:noWrap w:val="0"/>
            <w:vAlign w:val="center"/>
          </w:tcPr>
          <w:p>
            <w:pPr>
              <w:widowControl/>
              <w:jc w:val="center"/>
            </w:pPr>
            <w:r>
              <w:rPr>
                <w:rFonts w:hint="eastAsia" w:ascii="宋体" w:hAnsi="宋体" w:eastAsia="宋体" w:cs="宋体"/>
                <w:kern w:val="0"/>
                <w:sz w:val="18"/>
                <w:szCs w:val="18"/>
                <w:lang w:eastAsia="zh-CN"/>
              </w:rPr>
              <w:t>文化修养</w:t>
            </w:r>
          </w:p>
        </w:tc>
        <w:tc>
          <w:tcPr>
            <w:tcW w:w="426" w:type="dxa"/>
            <w:vMerge w:val="continue"/>
            <w:tcBorders>
              <w:left w:val="nil"/>
              <w:right w:val="single" w:color="auto" w:sz="4" w:space="0"/>
            </w:tcBorders>
            <w:noWrap/>
            <w:vAlign w:val="center"/>
          </w:tcPr>
          <w:p>
            <w:pPr>
              <w:widowControl/>
              <w:jc w:val="center"/>
            </w:pPr>
          </w:p>
        </w:tc>
        <w:tc>
          <w:tcPr>
            <w:tcW w:w="2242"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高等数学</w:t>
            </w:r>
          </w:p>
        </w:tc>
        <w:tc>
          <w:tcPr>
            <w:tcW w:w="832"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4</w:t>
            </w:r>
          </w:p>
        </w:tc>
        <w:tc>
          <w:tcPr>
            <w:tcW w:w="809"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1-2</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w:t>
            </w:r>
          </w:p>
        </w:tc>
        <w:tc>
          <w:tcPr>
            <w:tcW w:w="470" w:type="dxa"/>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大学英语</w:t>
            </w:r>
          </w:p>
        </w:tc>
        <w:tc>
          <w:tcPr>
            <w:tcW w:w="832"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18"/>
                <w:szCs w:val="18"/>
                <w:shd w:val="clear" w:color="auto" w:fill="auto"/>
                <w:lang w:val="en-US" w:eastAsia="zh-CN"/>
              </w:rPr>
            </w:pPr>
            <w:r>
              <w:rPr>
                <w:rFonts w:hint="eastAsia" w:ascii="宋体" w:hAnsi="宋体" w:eastAsia="宋体" w:cs="宋体"/>
                <w:color w:val="auto"/>
                <w:kern w:val="0"/>
                <w:sz w:val="18"/>
                <w:szCs w:val="18"/>
                <w:shd w:val="clear" w:color="auto" w:fill="auto"/>
                <w:lang w:val="en-US" w:eastAsia="zh-CN"/>
              </w:rPr>
              <w:t>8</w:t>
            </w:r>
          </w:p>
        </w:tc>
        <w:tc>
          <w:tcPr>
            <w:tcW w:w="809"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18"/>
                <w:szCs w:val="18"/>
                <w:shd w:val="clear" w:color="auto" w:fill="auto"/>
                <w:lang w:val="en-US" w:eastAsia="zh-CN"/>
              </w:rPr>
            </w:pPr>
            <w:r>
              <w:rPr>
                <w:rFonts w:hint="eastAsia" w:ascii="宋体" w:hAnsi="宋体" w:eastAsia="宋体" w:cs="宋体"/>
                <w:color w:val="auto"/>
                <w:kern w:val="0"/>
                <w:sz w:val="18"/>
                <w:szCs w:val="18"/>
                <w:shd w:val="clear" w:color="auto" w:fill="auto"/>
                <w:lang w:val="en-US" w:eastAsia="zh-CN"/>
              </w:rPr>
              <w:t>4</w:t>
            </w:r>
          </w:p>
        </w:tc>
        <w:tc>
          <w:tcPr>
            <w:tcW w:w="1040"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470" w:type="dxa"/>
            <w:vMerge w:val="continue"/>
            <w:tcBorders>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p>
        </w:tc>
        <w:tc>
          <w:tcPr>
            <w:tcW w:w="426" w:type="dxa"/>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大学体育</w:t>
            </w:r>
          </w:p>
        </w:tc>
        <w:tc>
          <w:tcPr>
            <w:tcW w:w="832"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809"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1040"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w:t>
            </w:r>
          </w:p>
        </w:tc>
        <w:tc>
          <w:tcPr>
            <w:tcW w:w="282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1</w:t>
            </w:r>
            <w:r>
              <w:rPr>
                <w:rFonts w:hint="eastAsia" w:ascii="宋体" w:hAnsi="宋体" w:eastAsia="宋体" w:cs="宋体"/>
                <w:kern w:val="0"/>
                <w:sz w:val="18"/>
                <w:szCs w:val="18"/>
                <w:lang w:val="en-US" w:eastAsia="zh-CN"/>
              </w:rPr>
              <w:t>0</w:t>
            </w:r>
          </w:p>
        </w:tc>
        <w:tc>
          <w:tcPr>
            <w:tcW w:w="470" w:type="dxa"/>
            <w:vMerge w:val="restart"/>
            <w:tcBorders>
              <w:top w:val="single" w:color="auto" w:sz="4" w:space="0"/>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人文素养</w:t>
            </w:r>
          </w:p>
        </w:tc>
        <w:tc>
          <w:tcPr>
            <w:tcW w:w="426" w:type="dxa"/>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心理健康指导</w:t>
            </w:r>
          </w:p>
        </w:tc>
        <w:tc>
          <w:tcPr>
            <w:tcW w:w="832"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809"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040"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282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w:t>
            </w:r>
          </w:p>
        </w:tc>
        <w:tc>
          <w:tcPr>
            <w:tcW w:w="470" w:type="dxa"/>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大学生礼仪规范</w:t>
            </w:r>
          </w:p>
        </w:tc>
        <w:tc>
          <w:tcPr>
            <w:tcW w:w="832"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w:t>
            </w:r>
          </w:p>
        </w:tc>
        <w:tc>
          <w:tcPr>
            <w:tcW w:w="809"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w:t>
            </w:r>
          </w:p>
        </w:tc>
        <w:tc>
          <w:tcPr>
            <w:tcW w:w="1040"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8"/>
                <w:szCs w:val="18"/>
                <w:lang w:eastAsia="zh-CN"/>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w:t>
            </w:r>
          </w:p>
        </w:tc>
        <w:tc>
          <w:tcPr>
            <w:tcW w:w="470" w:type="dxa"/>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人文素质修养</w:t>
            </w:r>
          </w:p>
        </w:tc>
        <w:tc>
          <w:tcPr>
            <w:tcW w:w="832"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809"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040"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w:t>
            </w:r>
          </w:p>
        </w:tc>
        <w:tc>
          <w:tcPr>
            <w:tcW w:w="470" w:type="dxa"/>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国学</w:t>
            </w:r>
          </w:p>
        </w:tc>
        <w:tc>
          <w:tcPr>
            <w:tcW w:w="832"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0.5</w:t>
            </w:r>
          </w:p>
        </w:tc>
        <w:tc>
          <w:tcPr>
            <w:tcW w:w="809"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040"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w:t>
            </w:r>
          </w:p>
        </w:tc>
        <w:tc>
          <w:tcPr>
            <w:tcW w:w="470"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劳动教育</w:t>
            </w:r>
          </w:p>
        </w:tc>
        <w:tc>
          <w:tcPr>
            <w:tcW w:w="832"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809"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p>
        </w:tc>
        <w:tc>
          <w:tcPr>
            <w:tcW w:w="1040"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w:t>
            </w:r>
          </w:p>
        </w:tc>
        <w:tc>
          <w:tcPr>
            <w:tcW w:w="2825"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16学时，学分1学分</w:t>
            </w: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47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职业素养</w:t>
            </w: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信息技术</w:t>
            </w:r>
          </w:p>
        </w:tc>
        <w:tc>
          <w:tcPr>
            <w:tcW w:w="832"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809"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4</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eastAsia="宋体" w:cs="宋体"/>
                <w:kern w:val="0"/>
                <w:sz w:val="18"/>
                <w:szCs w:val="18"/>
                <w:lang w:val="en-US" w:eastAsia="zh-CN"/>
              </w:rPr>
              <w:t>1</w:t>
            </w:r>
          </w:p>
        </w:tc>
        <w:tc>
          <w:tcPr>
            <w:tcW w:w="2825"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交通系、信工系为</w:t>
            </w:r>
            <w:r>
              <w:rPr>
                <w:rFonts w:hint="eastAsia" w:ascii="宋体" w:hAnsi="宋体" w:eastAsia="宋体" w:cs="宋体"/>
                <w:kern w:val="0"/>
                <w:sz w:val="18"/>
                <w:szCs w:val="18"/>
                <w:lang w:val="en-US" w:eastAsia="zh-CN"/>
              </w:rPr>
              <w:t>1学期；经贸系、医药系、机电系为2学期</w:t>
            </w: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w:t>
            </w:r>
          </w:p>
        </w:tc>
        <w:tc>
          <w:tcPr>
            <w:tcW w:w="4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应用文写作</w:t>
            </w:r>
          </w:p>
        </w:tc>
        <w:tc>
          <w:tcPr>
            <w:tcW w:w="832"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809"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2825"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交通系、机电系、医药系为</w:t>
            </w:r>
            <w:r>
              <w:rPr>
                <w:rFonts w:hint="eastAsia" w:ascii="宋体" w:hAnsi="宋体" w:eastAsia="宋体" w:cs="宋体"/>
                <w:kern w:val="0"/>
                <w:sz w:val="18"/>
                <w:szCs w:val="18"/>
                <w:lang w:val="en-US" w:eastAsia="zh-CN"/>
              </w:rPr>
              <w:t>3学期；信工系为4学期；经贸系按照原专业实际教学安排进行</w:t>
            </w: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w:t>
            </w:r>
          </w:p>
        </w:tc>
        <w:tc>
          <w:tcPr>
            <w:tcW w:w="4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职业发展与就业指导</w:t>
            </w:r>
          </w:p>
        </w:tc>
        <w:tc>
          <w:tcPr>
            <w:tcW w:w="832"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w:t>
            </w:r>
          </w:p>
        </w:tc>
        <w:tc>
          <w:tcPr>
            <w:tcW w:w="809"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w:t>
            </w:r>
          </w:p>
        </w:tc>
        <w:tc>
          <w:tcPr>
            <w:tcW w:w="1040"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w:t>
            </w:r>
          </w:p>
        </w:tc>
        <w:tc>
          <w:tcPr>
            <w:tcW w:w="4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创新创业就业教育</w:t>
            </w:r>
          </w:p>
        </w:tc>
        <w:tc>
          <w:tcPr>
            <w:tcW w:w="832"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809"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040" w:type="dxa"/>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w:t>
            </w:r>
          </w:p>
        </w:tc>
        <w:tc>
          <w:tcPr>
            <w:tcW w:w="47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综合素养</w:t>
            </w:r>
          </w:p>
        </w:tc>
        <w:tc>
          <w:tcPr>
            <w:tcW w:w="426" w:type="dxa"/>
            <w:vMerge w:val="restart"/>
            <w:tcBorders>
              <w:top w:val="nil"/>
              <w:left w:val="nil"/>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公共</w:t>
            </w:r>
            <w:r>
              <w:rPr>
                <w:rFonts w:hint="eastAsia" w:ascii="宋体" w:hAnsi="宋体" w:eastAsia="宋体" w:cs="宋体"/>
                <w:kern w:val="0"/>
                <w:sz w:val="18"/>
                <w:szCs w:val="18"/>
              </w:rPr>
              <w:t>选修课</w:t>
            </w:r>
          </w:p>
        </w:tc>
        <w:tc>
          <w:tcPr>
            <w:tcW w:w="224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社会人文类（包含环境保护）（选1）</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80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4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2825" w:type="dxa"/>
            <w:vMerge w:val="restart"/>
            <w:tcBorders>
              <w:top w:val="nil"/>
              <w:left w:val="nil"/>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p>
            <w:pPr>
              <w:bidi w:val="0"/>
              <w:jc w:val="center"/>
              <w:rPr>
                <w:rFonts w:hint="default" w:ascii="Calibri" w:hAnsi="Calibri" w:eastAsia="宋体" w:cs="Times New Roman"/>
                <w:kern w:val="2"/>
                <w:sz w:val="21"/>
                <w:szCs w:val="22"/>
                <w:lang w:val="en-US" w:eastAsia="zh-CN" w:bidi="ar-SA"/>
              </w:rPr>
            </w:pPr>
            <w:r>
              <w:rPr>
                <w:rFonts w:hint="eastAsia" w:cs="Times New Roman"/>
                <w:kern w:val="2"/>
                <w:sz w:val="21"/>
                <w:szCs w:val="22"/>
                <w:lang w:val="en-US" w:eastAsia="zh-CN" w:bidi="ar-SA"/>
              </w:rPr>
              <w:t>每门课程32学时，学分2学分，学生总计取得不少于8学分</w:t>
            </w: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4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自然科学类（包含人工智能）（选1）</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80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p>
        </w:tc>
        <w:tc>
          <w:tcPr>
            <w:tcW w:w="104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2825" w:type="dxa"/>
            <w:vMerge w:val="continue"/>
            <w:tcBorders>
              <w:left w:val="nil"/>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w:t>
            </w:r>
          </w:p>
        </w:tc>
        <w:tc>
          <w:tcPr>
            <w:tcW w:w="4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艺术修养类（选1）</w:t>
            </w:r>
          </w:p>
        </w:tc>
        <w:tc>
          <w:tcPr>
            <w:tcW w:w="83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8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p>
        </w:tc>
        <w:tc>
          <w:tcPr>
            <w:tcW w:w="104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2825" w:type="dxa"/>
            <w:vMerge w:val="continue"/>
            <w:tcBorders>
              <w:left w:val="nil"/>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2</w:t>
            </w:r>
            <w:r>
              <w:rPr>
                <w:rFonts w:hint="eastAsia" w:ascii="宋体" w:hAnsi="宋体" w:eastAsia="宋体" w:cs="宋体"/>
                <w:kern w:val="0"/>
                <w:sz w:val="18"/>
                <w:szCs w:val="18"/>
                <w:lang w:val="en-US" w:eastAsia="zh-CN"/>
              </w:rPr>
              <w:t>2</w:t>
            </w:r>
          </w:p>
        </w:tc>
        <w:tc>
          <w:tcPr>
            <w:tcW w:w="4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劳动素质类（选1）</w:t>
            </w:r>
          </w:p>
        </w:tc>
        <w:tc>
          <w:tcPr>
            <w:tcW w:w="83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80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p>
        </w:tc>
        <w:tc>
          <w:tcPr>
            <w:tcW w:w="104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2825" w:type="dxa"/>
            <w:vMerge w:val="continue"/>
            <w:tcBorders>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专业（技能）课</w:t>
            </w: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47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专业（群）通识课</w:t>
            </w:r>
          </w:p>
        </w:tc>
        <w:tc>
          <w:tcPr>
            <w:tcW w:w="426" w:type="dxa"/>
            <w:vMerge w:val="restart"/>
            <w:tcBorders>
              <w:top w:val="nil"/>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必修课</w:t>
            </w:r>
          </w:p>
        </w:tc>
        <w:tc>
          <w:tcPr>
            <w:tcW w:w="224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工程制图与识图*</w:t>
            </w:r>
          </w:p>
        </w:tc>
        <w:tc>
          <w:tcPr>
            <w:tcW w:w="83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80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04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282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建筑材料</w:t>
            </w:r>
          </w:p>
        </w:tc>
        <w:tc>
          <w:tcPr>
            <w:tcW w:w="832"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809"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4</w:t>
            </w:r>
          </w:p>
        </w:tc>
        <w:tc>
          <w:tcPr>
            <w:tcW w:w="4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工程力学*</w:t>
            </w:r>
          </w:p>
        </w:tc>
        <w:tc>
          <w:tcPr>
            <w:tcW w:w="83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809"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4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工程测量(A)</w:t>
            </w:r>
          </w:p>
        </w:tc>
        <w:tc>
          <w:tcPr>
            <w:tcW w:w="83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w:t>
            </w:r>
          </w:p>
        </w:tc>
        <w:tc>
          <w:tcPr>
            <w:tcW w:w="809"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6</w:t>
            </w:r>
          </w:p>
        </w:tc>
        <w:tc>
          <w:tcPr>
            <w:tcW w:w="4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建筑CAD</w:t>
            </w:r>
          </w:p>
        </w:tc>
        <w:tc>
          <w:tcPr>
            <w:tcW w:w="83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w:t>
            </w:r>
          </w:p>
        </w:tc>
        <w:tc>
          <w:tcPr>
            <w:tcW w:w="809"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3</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w:t>
            </w:r>
          </w:p>
        </w:tc>
        <w:tc>
          <w:tcPr>
            <w:tcW w:w="4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建筑法规</w:t>
            </w:r>
          </w:p>
        </w:tc>
        <w:tc>
          <w:tcPr>
            <w:tcW w:w="83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809"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86"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8</w:t>
            </w:r>
          </w:p>
        </w:tc>
        <w:tc>
          <w:tcPr>
            <w:tcW w:w="4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工程测量(A)实训</w:t>
            </w:r>
          </w:p>
        </w:tc>
        <w:tc>
          <w:tcPr>
            <w:tcW w:w="83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1</w:t>
            </w:r>
          </w:p>
        </w:tc>
        <w:tc>
          <w:tcPr>
            <w:tcW w:w="809"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9</w:t>
            </w:r>
          </w:p>
        </w:tc>
        <w:tc>
          <w:tcPr>
            <w:tcW w:w="4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建筑CAD实训</w:t>
            </w:r>
          </w:p>
        </w:tc>
        <w:tc>
          <w:tcPr>
            <w:tcW w:w="83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1</w:t>
            </w:r>
          </w:p>
        </w:tc>
        <w:tc>
          <w:tcPr>
            <w:tcW w:w="809"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w:t>
            </w:r>
            <w:r>
              <w:rPr>
                <w:rFonts w:hint="eastAsia" w:ascii="宋体" w:hAnsi="宋体" w:eastAsia="宋体" w:cs="宋体"/>
                <w:kern w:val="0"/>
                <w:sz w:val="18"/>
                <w:szCs w:val="18"/>
                <w:lang w:val="en-US" w:eastAsia="zh-CN"/>
              </w:rPr>
              <w:t>0</w:t>
            </w:r>
          </w:p>
        </w:tc>
        <w:tc>
          <w:tcPr>
            <w:tcW w:w="4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建筑工程经济学*</w:t>
            </w:r>
          </w:p>
        </w:tc>
        <w:tc>
          <w:tcPr>
            <w:tcW w:w="83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809"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w:t>
            </w:r>
          </w:p>
        </w:tc>
        <w:tc>
          <w:tcPr>
            <w:tcW w:w="4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kern w:val="0"/>
                <w:sz w:val="18"/>
                <w:szCs w:val="18"/>
                <w:lang w:bidi="ar"/>
              </w:rPr>
            </w:pPr>
            <w:r>
              <w:rPr>
                <w:rFonts w:hint="eastAsia" w:ascii="宋体" w:hAnsi="宋体" w:cs="宋体"/>
                <w:kern w:val="0"/>
                <w:sz w:val="18"/>
                <w:szCs w:val="18"/>
                <w:lang w:bidi="ar"/>
              </w:rPr>
              <w:t>桥梁构造与施工</w:t>
            </w:r>
            <w:r>
              <w:rPr>
                <w:rFonts w:hint="eastAsia" w:ascii="宋体" w:hAnsi="宋体" w:cs="宋体"/>
                <w:kern w:val="0"/>
                <w:sz w:val="18"/>
                <w:szCs w:val="18"/>
              </w:rPr>
              <w:t>实训</w:t>
            </w:r>
          </w:p>
        </w:tc>
        <w:tc>
          <w:tcPr>
            <w:tcW w:w="83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809"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w:t>
            </w:r>
          </w:p>
        </w:tc>
        <w:tc>
          <w:tcPr>
            <w:tcW w:w="4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kern w:val="0"/>
                <w:sz w:val="18"/>
                <w:szCs w:val="18"/>
                <w:lang w:bidi="ar"/>
              </w:rPr>
            </w:pPr>
            <w:r>
              <w:rPr>
                <w:rFonts w:hint="eastAsia" w:ascii="宋体" w:hAnsi="宋体" w:cs="宋体"/>
                <w:kern w:val="0"/>
                <w:sz w:val="18"/>
                <w:szCs w:val="18"/>
                <w:lang w:bidi="ar"/>
              </w:rPr>
              <w:t>地下与隧道工程施工</w:t>
            </w:r>
            <w:r>
              <w:rPr>
                <w:rFonts w:hint="eastAsia" w:ascii="宋体" w:hAnsi="宋体" w:cs="宋体"/>
                <w:kern w:val="0"/>
                <w:sz w:val="18"/>
                <w:szCs w:val="18"/>
              </w:rPr>
              <w:t>实训</w:t>
            </w:r>
          </w:p>
        </w:tc>
        <w:tc>
          <w:tcPr>
            <w:tcW w:w="83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809"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1</w:t>
            </w:r>
            <w:r>
              <w:rPr>
                <w:rFonts w:hint="eastAsia" w:ascii="宋体" w:hAnsi="宋体" w:eastAsia="宋体" w:cs="宋体"/>
                <w:kern w:val="0"/>
                <w:sz w:val="18"/>
                <w:szCs w:val="18"/>
                <w:lang w:val="en-US" w:eastAsia="zh-CN"/>
              </w:rPr>
              <w:t>5</w:t>
            </w:r>
          </w:p>
        </w:tc>
        <w:tc>
          <w:tcPr>
            <w:tcW w:w="47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cs="宋体"/>
                <w:kern w:val="0"/>
                <w:sz w:val="18"/>
                <w:szCs w:val="18"/>
                <w:lang w:bidi="ar"/>
              </w:rPr>
              <w:t>轨道工程计量与计价</w:t>
            </w:r>
            <w:r>
              <w:rPr>
                <w:rFonts w:hint="eastAsia" w:ascii="宋体" w:hAnsi="宋体" w:cs="宋体"/>
                <w:kern w:val="0"/>
                <w:sz w:val="18"/>
                <w:szCs w:val="18"/>
              </w:rPr>
              <w:t>实训</w:t>
            </w:r>
          </w:p>
        </w:tc>
        <w:tc>
          <w:tcPr>
            <w:tcW w:w="83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1</w:t>
            </w:r>
          </w:p>
        </w:tc>
        <w:tc>
          <w:tcPr>
            <w:tcW w:w="809"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w:t>
            </w:r>
          </w:p>
        </w:tc>
        <w:tc>
          <w:tcPr>
            <w:tcW w:w="470" w:type="dxa"/>
            <w:vMerge w:val="restart"/>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lang w:eastAsia="zh-CN"/>
              </w:rPr>
              <w:t>专业（群）核心课</w:t>
            </w:r>
          </w:p>
        </w:tc>
        <w:tc>
          <w:tcPr>
            <w:tcW w:w="426" w:type="dxa"/>
            <w:vMerge w:val="continue"/>
            <w:tcBorders>
              <w:left w:val="nil"/>
              <w:right w:val="single" w:color="auto" w:sz="4" w:space="0"/>
            </w:tcBorders>
            <w:noWrap/>
            <w:vAlign w:val="center"/>
          </w:tcPr>
          <w:p>
            <w:pPr>
              <w:widowControl/>
              <w:jc w:val="center"/>
              <w:rPr>
                <w:rFonts w:hint="eastAsia" w:ascii="宋体" w:hAnsi="宋体" w:eastAsia="宋体" w:cs="宋体"/>
                <w:kern w:val="0"/>
                <w:sz w:val="18"/>
                <w:szCs w:val="18"/>
                <w:lang w:eastAsia="zh-CN"/>
              </w:rPr>
            </w:pPr>
          </w:p>
        </w:tc>
        <w:tc>
          <w:tcPr>
            <w:tcW w:w="224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kern w:val="0"/>
                <w:sz w:val="18"/>
                <w:szCs w:val="18"/>
                <w:lang w:bidi="ar"/>
              </w:rPr>
              <w:t>桥梁构造与施工</w:t>
            </w:r>
            <w:r>
              <w:rPr>
                <w:rStyle w:val="8"/>
                <w:rFonts w:hAnsi="宋体"/>
                <w:color w:val="auto"/>
                <w:lang w:bidi="ar"/>
              </w:rPr>
              <w:t>●</w:t>
            </w:r>
          </w:p>
        </w:tc>
        <w:tc>
          <w:tcPr>
            <w:tcW w:w="83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809"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w:t>
            </w:r>
          </w:p>
        </w:tc>
        <w:tc>
          <w:tcPr>
            <w:tcW w:w="47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kern w:val="0"/>
                <w:sz w:val="18"/>
                <w:szCs w:val="18"/>
                <w:lang w:bidi="ar"/>
              </w:rPr>
              <w:t>地下与隧道工程施工</w:t>
            </w:r>
            <w:r>
              <w:rPr>
                <w:rFonts w:ascii="仿宋_GB2312" w:hAnsi="宋体" w:eastAsia="仿宋_GB2312" w:cs="仿宋_GB2312"/>
                <w:kern w:val="0"/>
                <w:szCs w:val="21"/>
                <w:lang w:bidi="ar"/>
              </w:rPr>
              <w:t>●</w:t>
            </w:r>
          </w:p>
        </w:tc>
        <w:tc>
          <w:tcPr>
            <w:tcW w:w="83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809"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w:t>
            </w:r>
          </w:p>
        </w:tc>
        <w:tc>
          <w:tcPr>
            <w:tcW w:w="47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kern w:val="0"/>
                <w:sz w:val="18"/>
                <w:szCs w:val="18"/>
                <w:lang w:bidi="ar"/>
              </w:rPr>
              <w:t>轨道工程计量与计价</w:t>
            </w:r>
            <w:r>
              <w:rPr>
                <w:rStyle w:val="8"/>
                <w:rFonts w:hAnsi="宋体"/>
                <w:color w:val="auto"/>
                <w:lang w:bidi="ar"/>
              </w:rPr>
              <w:t>●</w:t>
            </w:r>
          </w:p>
        </w:tc>
        <w:tc>
          <w:tcPr>
            <w:tcW w:w="83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809"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w:t>
            </w:r>
          </w:p>
        </w:tc>
        <w:tc>
          <w:tcPr>
            <w:tcW w:w="47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土力学与地基基础</w:t>
            </w:r>
            <w:r>
              <w:rPr>
                <w:rStyle w:val="9"/>
                <w:rFonts w:hAnsi="宋体"/>
                <w:lang w:val="en-US" w:eastAsia="zh-CN" w:bidi="ar"/>
              </w:rPr>
              <w:t>●</w:t>
            </w:r>
          </w:p>
        </w:tc>
        <w:tc>
          <w:tcPr>
            <w:tcW w:w="83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809"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47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kern w:val="0"/>
                <w:sz w:val="18"/>
                <w:szCs w:val="18"/>
                <w:lang w:bidi="ar"/>
              </w:rPr>
              <w:t>路基工程施工</w:t>
            </w:r>
            <w:r>
              <w:rPr>
                <w:rStyle w:val="8"/>
                <w:rFonts w:hAnsi="宋体"/>
                <w:color w:val="auto"/>
                <w:lang w:bidi="ar"/>
              </w:rPr>
              <w:t>●</w:t>
            </w:r>
          </w:p>
        </w:tc>
        <w:tc>
          <w:tcPr>
            <w:tcW w:w="83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809"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w:t>
            </w:r>
          </w:p>
        </w:tc>
        <w:tc>
          <w:tcPr>
            <w:tcW w:w="470" w:type="dxa"/>
            <w:tcBorders>
              <w:top w:val="nil"/>
              <w:left w:val="single" w:color="auto" w:sz="4" w:space="0"/>
              <w:bottom w:val="single" w:color="000000"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cs="宋体"/>
                <w:kern w:val="0"/>
                <w:sz w:val="18"/>
                <w:szCs w:val="18"/>
                <w:lang w:bidi="ar"/>
              </w:rPr>
            </w:pPr>
            <w:r>
              <w:rPr>
                <w:rFonts w:hint="eastAsia" w:ascii="宋体" w:hAnsi="宋体" w:cs="宋体"/>
                <w:kern w:val="0"/>
                <w:sz w:val="18"/>
                <w:szCs w:val="18"/>
                <w:lang w:bidi="ar"/>
              </w:rPr>
              <w:t>工程项目管理</w:t>
            </w:r>
            <w:r>
              <w:rPr>
                <w:rStyle w:val="8"/>
                <w:rFonts w:hAnsi="宋体"/>
                <w:color w:val="auto"/>
                <w:lang w:bidi="ar"/>
              </w:rPr>
              <w:t>●</w:t>
            </w:r>
          </w:p>
        </w:tc>
        <w:tc>
          <w:tcPr>
            <w:tcW w:w="832"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809" w:type="dxa"/>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1040"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2825" w:type="dxa"/>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w:t>
            </w:r>
          </w:p>
        </w:tc>
        <w:tc>
          <w:tcPr>
            <w:tcW w:w="470" w:type="dxa"/>
            <w:vMerge w:val="restart"/>
            <w:tcBorders>
              <w:top w:val="nil"/>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专业（群）拓展课</w:t>
            </w:r>
          </w:p>
          <w:p>
            <w:pPr>
              <w:widowControl/>
              <w:jc w:val="center"/>
              <w:rPr>
                <w:rFonts w:ascii="宋体" w:hAnsi="宋体" w:eastAsia="宋体" w:cs="宋体"/>
                <w:kern w:val="0"/>
                <w:sz w:val="18"/>
                <w:szCs w:val="18"/>
              </w:rPr>
            </w:pPr>
          </w:p>
          <w:p>
            <w:pPr>
              <w:widowControl/>
              <w:jc w:val="center"/>
              <w:rPr>
                <w:rFonts w:ascii="宋体" w:hAnsi="宋体" w:eastAsia="宋体" w:cs="宋体"/>
                <w:kern w:val="0"/>
                <w:sz w:val="18"/>
                <w:szCs w:val="18"/>
              </w:rPr>
            </w:pPr>
          </w:p>
        </w:tc>
        <w:tc>
          <w:tcPr>
            <w:tcW w:w="426" w:type="dxa"/>
            <w:vMerge w:val="restart"/>
            <w:tcBorders>
              <w:top w:val="nil"/>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限定选修课</w:t>
            </w:r>
          </w:p>
        </w:tc>
        <w:tc>
          <w:tcPr>
            <w:tcW w:w="224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kern w:val="0"/>
                <w:sz w:val="18"/>
                <w:szCs w:val="18"/>
                <w:lang w:bidi="ar"/>
              </w:rPr>
              <w:t>工程地质与水文地质</w:t>
            </w:r>
          </w:p>
        </w:tc>
        <w:tc>
          <w:tcPr>
            <w:tcW w:w="83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80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104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2825" w:type="dxa"/>
            <w:vMerge w:val="restart"/>
            <w:tcBorders>
              <w:top w:val="nil"/>
              <w:left w:val="nil"/>
              <w:right w:val="single" w:color="auto" w:sz="4" w:space="0"/>
            </w:tcBorders>
            <w:noWrap w:val="0"/>
            <w:vAlign w:val="center"/>
          </w:tcPr>
          <w:p>
            <w:pPr>
              <w:widowControl/>
              <w:jc w:val="center"/>
              <w:rPr>
                <w:rFonts w:hint="eastAsia" w:ascii="宋体" w:hAnsi="宋体" w:eastAsia="宋体" w:cs="宋体"/>
                <w:kern w:val="0"/>
                <w:sz w:val="18"/>
                <w:szCs w:val="18"/>
              </w:rPr>
            </w:pPr>
          </w:p>
          <w:p>
            <w:pPr>
              <w:bidi w:val="0"/>
              <w:rPr>
                <w:rFonts w:hint="eastAsia" w:ascii="Calibri" w:hAnsi="Calibri" w:eastAsia="宋体" w:cs="Times New Roman"/>
                <w:kern w:val="2"/>
                <w:sz w:val="21"/>
                <w:szCs w:val="22"/>
                <w:lang w:val="en-US" w:eastAsia="zh-CN" w:bidi="ar-SA"/>
              </w:rPr>
            </w:pPr>
          </w:p>
          <w:p>
            <w:pPr>
              <w:bidi w:val="0"/>
              <w:jc w:val="center"/>
              <w:rPr>
                <w:rFonts w:hint="eastAsia"/>
                <w:lang w:val="en-US" w:eastAsia="zh-CN"/>
              </w:rPr>
            </w:pPr>
            <w:r>
              <w:rPr>
                <w:rFonts w:hint="eastAsia"/>
                <w:lang w:val="en-US" w:eastAsia="zh-CN"/>
              </w:rPr>
              <w:t>限选5门，原则上第3学期2门，</w:t>
            </w:r>
          </w:p>
          <w:p>
            <w:pPr>
              <w:bidi w:val="0"/>
              <w:jc w:val="center"/>
              <w:rPr>
                <w:rFonts w:hint="default"/>
                <w:lang w:val="en-US" w:eastAsia="zh-CN"/>
              </w:rPr>
            </w:pPr>
            <w:r>
              <w:rPr>
                <w:rFonts w:hint="eastAsia"/>
                <w:lang w:val="en-US" w:eastAsia="zh-CN"/>
              </w:rPr>
              <w:t>第4学期2门，第5学期1门，（其中第5学期使用线上教学方式）学分不低于14学分</w:t>
            </w: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w:t>
            </w:r>
          </w:p>
        </w:tc>
        <w:tc>
          <w:tcPr>
            <w:tcW w:w="470" w:type="dxa"/>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资料管理</w:t>
            </w:r>
          </w:p>
        </w:tc>
        <w:tc>
          <w:tcPr>
            <w:tcW w:w="83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80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104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2825" w:type="dxa"/>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w:t>
            </w:r>
          </w:p>
        </w:tc>
        <w:tc>
          <w:tcPr>
            <w:tcW w:w="470" w:type="dxa"/>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2"/>
                <w:sz w:val="18"/>
                <w:szCs w:val="18"/>
                <w:u w:val="none"/>
                <w:lang w:val="en-US" w:eastAsia="zh-CN" w:bidi="ar-SA"/>
              </w:rPr>
              <w:t>城市轨道工程施工</w:t>
            </w:r>
          </w:p>
        </w:tc>
        <w:tc>
          <w:tcPr>
            <w:tcW w:w="83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2"/>
                <w:sz w:val="18"/>
                <w:szCs w:val="18"/>
                <w:u w:val="none"/>
                <w:lang w:val="en-US" w:eastAsia="zh-CN" w:bidi="ar-SA"/>
              </w:rPr>
              <w:t>4</w:t>
            </w:r>
          </w:p>
        </w:tc>
        <w:tc>
          <w:tcPr>
            <w:tcW w:w="80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2"/>
                <w:sz w:val="18"/>
                <w:szCs w:val="18"/>
                <w:u w:val="none"/>
                <w:lang w:val="en-US" w:eastAsia="zh-CN" w:bidi="ar-SA"/>
              </w:rPr>
              <w:t>4</w:t>
            </w:r>
          </w:p>
        </w:tc>
        <w:tc>
          <w:tcPr>
            <w:tcW w:w="1040"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4</w:t>
            </w:r>
          </w:p>
        </w:tc>
        <w:tc>
          <w:tcPr>
            <w:tcW w:w="2825" w:type="dxa"/>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w:t>
            </w:r>
          </w:p>
        </w:tc>
        <w:tc>
          <w:tcPr>
            <w:tcW w:w="470" w:type="dxa"/>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26" w:type="dxa"/>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kern w:val="0"/>
                <w:sz w:val="18"/>
                <w:szCs w:val="18"/>
                <w:lang w:bidi="ar"/>
              </w:rPr>
              <w:t>招投标与合同管理</w:t>
            </w:r>
          </w:p>
        </w:tc>
        <w:tc>
          <w:tcPr>
            <w:tcW w:w="83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809"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104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2825" w:type="dxa"/>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jc w:val="center"/>
        </w:trPr>
        <w:tc>
          <w:tcPr>
            <w:tcW w:w="2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4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w:t>
            </w:r>
          </w:p>
        </w:tc>
        <w:tc>
          <w:tcPr>
            <w:tcW w:w="470" w:type="dxa"/>
            <w:vMerge w:val="continue"/>
            <w:tcBorders>
              <w:left w:val="single" w:color="auto" w:sz="4" w:space="0"/>
              <w:right w:val="single" w:color="auto" w:sz="4" w:space="0"/>
            </w:tcBorders>
            <w:noWrap w:val="0"/>
            <w:vAlign w:val="center"/>
          </w:tcPr>
          <w:p>
            <w:pPr>
              <w:widowControl/>
              <w:jc w:val="center"/>
              <w:rPr>
                <w:rFonts w:ascii="宋体" w:hAnsi="宋体" w:eastAsia="宋体" w:cs="宋体"/>
                <w:kern w:val="0"/>
                <w:sz w:val="18"/>
                <w:szCs w:val="18"/>
              </w:rPr>
            </w:pPr>
          </w:p>
        </w:tc>
        <w:tc>
          <w:tcPr>
            <w:tcW w:w="426" w:type="dxa"/>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c>
          <w:tcPr>
            <w:tcW w:w="224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建筑企业管理</w:t>
            </w:r>
          </w:p>
        </w:tc>
        <w:tc>
          <w:tcPr>
            <w:tcW w:w="83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4</w:t>
            </w:r>
          </w:p>
        </w:tc>
        <w:tc>
          <w:tcPr>
            <w:tcW w:w="809"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1040"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2825" w:type="dxa"/>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bl>
    <w:tbl>
      <w:tblPr>
        <w:tblStyle w:val="6"/>
        <w:tblW w:w="93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98"/>
        <w:gridCol w:w="435"/>
        <w:gridCol w:w="470"/>
        <w:gridCol w:w="426"/>
        <w:gridCol w:w="2241"/>
        <w:gridCol w:w="831"/>
        <w:gridCol w:w="809"/>
        <w:gridCol w:w="1039"/>
        <w:gridCol w:w="2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atLeast"/>
          <w:jc w:val="center"/>
        </w:trPr>
        <w:tc>
          <w:tcPr>
            <w:tcW w:w="298" w:type="dxa"/>
            <w:vMerge w:val="restart"/>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lang w:eastAsia="zh-CN"/>
              </w:rPr>
              <w:t>毕业</w:t>
            </w:r>
            <w:r>
              <w:rPr>
                <w:rFonts w:hint="eastAsia" w:ascii="宋体" w:hAnsi="宋体" w:eastAsia="宋体" w:cs="宋体"/>
                <w:kern w:val="0"/>
                <w:sz w:val="18"/>
                <w:szCs w:val="18"/>
              </w:rPr>
              <w:t>环节</w:t>
            </w:r>
          </w:p>
        </w:tc>
        <w:tc>
          <w:tcPr>
            <w:tcW w:w="435" w:type="dxa"/>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470" w:type="dxa"/>
            <w:noWrap w:val="0"/>
            <w:vAlign w:val="center"/>
          </w:tcPr>
          <w:p>
            <w:pPr>
              <w:widowControl/>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426" w:type="dxa"/>
            <w:vMerge w:val="restart"/>
            <w:noWrap w:val="0"/>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必修课</w:t>
            </w:r>
          </w:p>
        </w:tc>
        <w:tc>
          <w:tcPr>
            <w:tcW w:w="2241" w:type="dxa"/>
            <w:noWrap w:val="0"/>
            <w:vAlign w:val="center"/>
          </w:tcPr>
          <w:p>
            <w:pPr>
              <w:widowControl/>
              <w:jc w:val="center"/>
              <w:rPr>
                <w:rFonts w:hint="eastAsia" w:ascii="宋体" w:hAnsi="宋体" w:eastAsia="宋体" w:cs="宋体"/>
                <w:color w:val="000000"/>
                <w:kern w:val="0"/>
                <w:sz w:val="18"/>
                <w:szCs w:val="18"/>
                <w:highlight w:val="yellow"/>
                <w:lang w:eastAsia="zh-CN"/>
              </w:rPr>
            </w:pPr>
            <w:r>
              <w:rPr>
                <w:rFonts w:hint="eastAsia" w:ascii="宋体" w:hAnsi="宋体" w:eastAsia="宋体" w:cs="宋体"/>
                <w:color w:val="000000"/>
                <w:kern w:val="0"/>
                <w:sz w:val="18"/>
                <w:szCs w:val="18"/>
                <w:highlight w:val="none"/>
                <w:shd w:val="clear" w:color="auto" w:fill="FFFFFF"/>
                <w:lang w:eastAsia="zh-CN"/>
              </w:rPr>
              <w:t>毕业设计</w:t>
            </w:r>
            <w:r>
              <w:rPr>
                <w:rFonts w:hint="eastAsia" w:ascii="宋体" w:hAnsi="宋体" w:eastAsia="宋体" w:cs="宋体"/>
                <w:color w:val="000000"/>
                <w:kern w:val="0"/>
                <w:sz w:val="18"/>
                <w:szCs w:val="18"/>
                <w:highlight w:val="none"/>
                <w:shd w:val="clear" w:color="auto" w:fill="FFFFFF"/>
                <w:lang w:val="en-US" w:eastAsia="zh-CN"/>
              </w:rPr>
              <w:t>&lt;</w:t>
            </w:r>
            <w:r>
              <w:rPr>
                <w:rFonts w:hint="eastAsia" w:ascii="宋体" w:hAnsi="宋体" w:eastAsia="宋体" w:cs="宋体"/>
                <w:color w:val="000000"/>
                <w:kern w:val="0"/>
                <w:sz w:val="18"/>
                <w:szCs w:val="18"/>
                <w:highlight w:val="none"/>
                <w:shd w:val="clear" w:color="auto" w:fill="FFFFFF"/>
                <w:lang w:eastAsia="zh-CN"/>
              </w:rPr>
              <w:t>论文</w:t>
            </w:r>
            <w:r>
              <w:rPr>
                <w:rFonts w:hint="eastAsia" w:ascii="宋体" w:hAnsi="宋体" w:eastAsia="宋体" w:cs="宋体"/>
                <w:color w:val="000000"/>
                <w:kern w:val="0"/>
                <w:sz w:val="18"/>
                <w:szCs w:val="18"/>
                <w:highlight w:val="none"/>
                <w:shd w:val="clear" w:color="auto" w:fill="FFFFFF"/>
                <w:lang w:val="en-US" w:eastAsia="zh-CN"/>
              </w:rPr>
              <w:t>&gt;</w:t>
            </w:r>
            <w:r>
              <w:rPr>
                <w:rFonts w:hint="eastAsia" w:ascii="宋体" w:hAnsi="宋体" w:eastAsia="宋体" w:cs="宋体"/>
                <w:color w:val="000000"/>
                <w:kern w:val="0"/>
                <w:sz w:val="18"/>
                <w:szCs w:val="18"/>
                <w:highlight w:val="none"/>
                <w:shd w:val="clear" w:color="auto" w:fill="FFFFFF"/>
                <w:lang w:eastAsia="zh-CN"/>
              </w:rPr>
              <w:t>环节</w:t>
            </w:r>
          </w:p>
        </w:tc>
        <w:tc>
          <w:tcPr>
            <w:tcW w:w="831" w:type="dxa"/>
            <w:noWrap w:val="0"/>
            <w:vAlign w:val="center"/>
          </w:tcPr>
          <w:p>
            <w:pPr>
              <w:widowControl/>
              <w:jc w:val="center"/>
              <w:rPr>
                <w:rFonts w:hint="default"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8</w:t>
            </w:r>
          </w:p>
        </w:tc>
        <w:tc>
          <w:tcPr>
            <w:tcW w:w="809" w:type="dxa"/>
            <w:noWrap w:val="0"/>
            <w:vAlign w:val="center"/>
          </w:tcPr>
          <w:p>
            <w:pPr>
              <w:widowControl/>
              <w:jc w:val="center"/>
              <w:rPr>
                <w:rFonts w:hint="eastAsia" w:ascii="宋体" w:hAnsi="宋体" w:eastAsia="宋体" w:cs="宋体"/>
                <w:color w:val="000000"/>
                <w:kern w:val="0"/>
                <w:sz w:val="18"/>
                <w:szCs w:val="18"/>
                <w:highlight w:val="none"/>
              </w:rPr>
            </w:pPr>
            <w:r>
              <w:rPr>
                <w:rFonts w:hint="eastAsia" w:ascii="宋体" w:hAnsi="宋体" w:eastAsia="宋体" w:cs="宋体"/>
                <w:kern w:val="0"/>
                <w:sz w:val="18"/>
                <w:szCs w:val="18"/>
                <w:highlight w:val="none"/>
                <w:lang w:eastAsia="zh-CN"/>
              </w:rPr>
              <w:t>●</w:t>
            </w:r>
          </w:p>
        </w:tc>
        <w:tc>
          <w:tcPr>
            <w:tcW w:w="1039" w:type="dxa"/>
            <w:noWrap w:val="0"/>
            <w:vAlign w:val="center"/>
          </w:tcPr>
          <w:p>
            <w:pPr>
              <w:widowControl/>
              <w:jc w:val="center"/>
              <w:rPr>
                <w:rFonts w:hint="eastAsia"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6</w:t>
            </w:r>
          </w:p>
        </w:tc>
        <w:tc>
          <w:tcPr>
            <w:tcW w:w="2818" w:type="dxa"/>
            <w:noWrap w:val="0"/>
            <w:vAlign w:val="center"/>
          </w:tcPr>
          <w:p>
            <w:pPr>
              <w:widowControl/>
              <w:jc w:val="center"/>
              <w:rPr>
                <w:rFonts w:hint="eastAsia" w:ascii="宋体" w:hAnsi="宋体" w:eastAsia="宋体" w:cs="宋体"/>
                <w:color w:val="000000"/>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atLeast"/>
          <w:jc w:val="center"/>
        </w:trPr>
        <w:tc>
          <w:tcPr>
            <w:tcW w:w="298" w:type="dxa"/>
            <w:vMerge w:val="continue"/>
            <w:noWrap w:val="0"/>
            <w:vAlign w:val="center"/>
          </w:tcPr>
          <w:p>
            <w:pPr>
              <w:widowControl/>
              <w:jc w:val="left"/>
              <w:rPr>
                <w:rFonts w:ascii="宋体" w:hAnsi="宋体" w:eastAsia="宋体" w:cs="宋体"/>
                <w:kern w:val="0"/>
                <w:sz w:val="18"/>
                <w:szCs w:val="18"/>
              </w:rPr>
            </w:pPr>
          </w:p>
        </w:tc>
        <w:tc>
          <w:tcPr>
            <w:tcW w:w="435" w:type="dxa"/>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470" w:type="dxa"/>
            <w:noWrap w:val="0"/>
            <w:vAlign w:val="center"/>
          </w:tcPr>
          <w:p>
            <w:pPr>
              <w:widowControl/>
              <w:jc w:val="center"/>
              <w:rPr>
                <w:rFonts w:ascii="宋体" w:hAnsi="宋体" w:eastAsia="宋体" w:cs="宋体"/>
                <w:color w:val="auto"/>
                <w:kern w:val="0"/>
                <w:sz w:val="18"/>
                <w:szCs w:val="18"/>
              </w:rPr>
            </w:pPr>
            <w:r>
              <w:rPr>
                <w:rFonts w:hint="eastAsia" w:ascii="宋体" w:hAnsi="宋体" w:eastAsia="宋体" w:cs="宋体"/>
                <w:color w:val="auto"/>
                <w:kern w:val="0"/>
                <w:sz w:val="18"/>
                <w:szCs w:val="18"/>
              </w:rPr>
              <w:t>　</w:t>
            </w:r>
          </w:p>
        </w:tc>
        <w:tc>
          <w:tcPr>
            <w:tcW w:w="426" w:type="dxa"/>
            <w:vMerge w:val="continue"/>
            <w:noWrap w:val="0"/>
            <w:vAlign w:val="center"/>
          </w:tcPr>
          <w:p>
            <w:pPr>
              <w:widowControl/>
              <w:jc w:val="center"/>
              <w:rPr>
                <w:rFonts w:hint="eastAsia" w:ascii="宋体" w:hAnsi="宋体" w:eastAsia="宋体" w:cs="宋体"/>
                <w:color w:val="auto"/>
                <w:kern w:val="0"/>
                <w:sz w:val="18"/>
                <w:szCs w:val="18"/>
              </w:rPr>
            </w:pPr>
          </w:p>
        </w:tc>
        <w:tc>
          <w:tcPr>
            <w:tcW w:w="2241" w:type="dxa"/>
            <w:noWrap w:val="0"/>
            <w:vAlign w:val="center"/>
          </w:tcPr>
          <w:p>
            <w:pPr>
              <w:widowControl/>
              <w:jc w:val="center"/>
              <w:rPr>
                <w:rFonts w:hint="eastAsia" w:ascii="宋体" w:hAnsi="宋体" w:eastAsia="宋体" w:cs="宋体"/>
                <w:color w:val="000000"/>
                <w:kern w:val="0"/>
                <w:sz w:val="18"/>
                <w:szCs w:val="18"/>
                <w:highlight w:val="yellow"/>
                <w:lang w:eastAsia="zh-CN"/>
              </w:rPr>
            </w:pPr>
            <w:r>
              <w:rPr>
                <w:rFonts w:hint="eastAsia" w:ascii="宋体" w:hAnsi="宋体" w:eastAsia="宋体" w:cs="宋体"/>
                <w:color w:val="000000"/>
                <w:kern w:val="0"/>
                <w:sz w:val="18"/>
                <w:szCs w:val="18"/>
                <w:highlight w:val="none"/>
                <w:lang w:eastAsia="zh-CN"/>
              </w:rPr>
              <w:t>岗位实习</w:t>
            </w:r>
          </w:p>
        </w:tc>
        <w:tc>
          <w:tcPr>
            <w:tcW w:w="831" w:type="dxa"/>
            <w:noWrap w:val="0"/>
            <w:vAlign w:val="center"/>
          </w:tcPr>
          <w:p>
            <w:pPr>
              <w:widowControl/>
              <w:jc w:val="center"/>
              <w:rPr>
                <w:rFonts w:hint="default"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26</w:t>
            </w:r>
          </w:p>
        </w:tc>
        <w:tc>
          <w:tcPr>
            <w:tcW w:w="809" w:type="dxa"/>
            <w:noWrap w:val="0"/>
            <w:vAlign w:val="center"/>
          </w:tcPr>
          <w:p>
            <w:pPr>
              <w:widowControl/>
              <w:jc w:val="center"/>
              <w:rPr>
                <w:rFonts w:hint="eastAsia" w:ascii="宋体" w:hAnsi="宋体" w:eastAsia="宋体" w:cs="宋体"/>
                <w:color w:val="000000"/>
                <w:kern w:val="0"/>
                <w:sz w:val="18"/>
                <w:szCs w:val="18"/>
                <w:highlight w:val="none"/>
              </w:rPr>
            </w:pPr>
            <w:r>
              <w:rPr>
                <w:rFonts w:hint="eastAsia" w:ascii="宋体" w:hAnsi="宋体" w:eastAsia="宋体" w:cs="宋体"/>
                <w:kern w:val="0"/>
                <w:sz w:val="18"/>
                <w:szCs w:val="18"/>
                <w:highlight w:val="none"/>
                <w:lang w:eastAsia="zh-CN"/>
              </w:rPr>
              <w:t>●</w:t>
            </w:r>
          </w:p>
        </w:tc>
        <w:tc>
          <w:tcPr>
            <w:tcW w:w="1039" w:type="dxa"/>
            <w:noWrap w:val="0"/>
            <w:vAlign w:val="center"/>
          </w:tcPr>
          <w:p>
            <w:pPr>
              <w:widowControl/>
              <w:jc w:val="center"/>
              <w:rPr>
                <w:rFonts w:hint="eastAsia"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lang w:val="en-US" w:eastAsia="zh-CN"/>
              </w:rPr>
              <w:t>5-6</w:t>
            </w:r>
          </w:p>
        </w:tc>
        <w:tc>
          <w:tcPr>
            <w:tcW w:w="2818" w:type="dxa"/>
            <w:noWrap w:val="0"/>
            <w:vAlign w:val="center"/>
          </w:tcPr>
          <w:p>
            <w:pPr>
              <w:widowControl/>
              <w:jc w:val="center"/>
              <w:rPr>
                <w:rFonts w:hint="default"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lang w:val="en-US" w:eastAsia="zh-CN"/>
              </w:rPr>
              <w:t>5学期</w:t>
            </w:r>
            <w:r>
              <w:rPr>
                <w:rFonts w:hint="eastAsia" w:ascii="宋体" w:hAnsi="宋体" w:cs="宋体"/>
                <w:color w:val="000000"/>
                <w:kern w:val="0"/>
                <w:sz w:val="18"/>
                <w:szCs w:val="18"/>
                <w:highlight w:val="none"/>
                <w:lang w:val="en-US" w:eastAsia="zh-CN"/>
              </w:rPr>
              <w:t>18</w:t>
            </w:r>
            <w:r>
              <w:rPr>
                <w:rFonts w:hint="eastAsia" w:ascii="宋体" w:hAnsi="宋体" w:eastAsia="宋体" w:cs="宋体"/>
                <w:color w:val="000000"/>
                <w:kern w:val="0"/>
                <w:sz w:val="18"/>
                <w:szCs w:val="18"/>
                <w:highlight w:val="none"/>
                <w:lang w:val="en-US" w:eastAsia="zh-CN"/>
              </w:rPr>
              <w:t>周，6学期</w:t>
            </w:r>
            <w:r>
              <w:rPr>
                <w:rFonts w:hint="eastAsia" w:ascii="宋体" w:hAnsi="宋体" w:cs="宋体"/>
                <w:color w:val="000000"/>
                <w:kern w:val="0"/>
                <w:sz w:val="18"/>
                <w:szCs w:val="18"/>
                <w:highlight w:val="none"/>
                <w:lang w:val="en-US" w:eastAsia="zh-CN"/>
              </w:rPr>
              <w:t>8</w:t>
            </w:r>
            <w:r>
              <w:rPr>
                <w:rFonts w:hint="eastAsia" w:ascii="宋体" w:hAnsi="宋体" w:eastAsia="宋体" w:cs="宋体"/>
                <w:color w:val="000000"/>
                <w:kern w:val="0"/>
                <w:sz w:val="18"/>
                <w:szCs w:val="18"/>
                <w:highlight w:val="none"/>
                <w:lang w:val="en-US" w:eastAsia="zh-CN"/>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298" w:type="dxa"/>
            <w:vMerge w:val="restart"/>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第二课堂</w:t>
            </w:r>
          </w:p>
        </w:tc>
        <w:tc>
          <w:tcPr>
            <w:tcW w:w="435" w:type="dxa"/>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470" w:type="dxa"/>
            <w:noWrap w:val="0"/>
            <w:vAlign w:val="center"/>
          </w:tcPr>
          <w:p>
            <w:pPr>
              <w:widowControl/>
              <w:jc w:val="center"/>
              <w:rPr>
                <w:rFonts w:ascii="宋体" w:hAnsi="宋体" w:eastAsia="宋体" w:cs="宋体"/>
                <w:color w:val="auto"/>
                <w:kern w:val="0"/>
                <w:sz w:val="18"/>
                <w:szCs w:val="18"/>
              </w:rPr>
            </w:pPr>
            <w:r>
              <w:rPr>
                <w:rFonts w:hint="eastAsia" w:ascii="宋体" w:hAnsi="宋体" w:eastAsia="宋体" w:cs="宋体"/>
                <w:color w:val="auto"/>
                <w:kern w:val="0"/>
                <w:sz w:val="18"/>
                <w:szCs w:val="18"/>
                <w:lang w:eastAsia="zh-CN"/>
              </w:rPr>
              <w:t>社会实践拓展</w:t>
            </w:r>
            <w:r>
              <w:rPr>
                <w:rFonts w:hint="eastAsia" w:ascii="宋体" w:hAnsi="宋体" w:eastAsia="宋体" w:cs="宋体"/>
                <w:color w:val="auto"/>
                <w:kern w:val="0"/>
                <w:sz w:val="18"/>
                <w:szCs w:val="18"/>
              </w:rPr>
              <w:t>　</w:t>
            </w:r>
          </w:p>
        </w:tc>
        <w:tc>
          <w:tcPr>
            <w:tcW w:w="426" w:type="dxa"/>
            <w:noWrap w:val="0"/>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eastAsia="zh-CN"/>
              </w:rPr>
              <w:t>必修课</w:t>
            </w:r>
          </w:p>
        </w:tc>
        <w:tc>
          <w:tcPr>
            <w:tcW w:w="2241" w:type="dxa"/>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专业认识实习</w:t>
            </w:r>
          </w:p>
        </w:tc>
        <w:tc>
          <w:tcPr>
            <w:tcW w:w="831" w:type="dxa"/>
            <w:noWrap w:val="0"/>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w:t>
            </w:r>
          </w:p>
        </w:tc>
        <w:tc>
          <w:tcPr>
            <w:tcW w:w="809" w:type="dxa"/>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w:t>
            </w:r>
          </w:p>
        </w:tc>
        <w:tc>
          <w:tcPr>
            <w:tcW w:w="1039" w:type="dxa"/>
            <w:noWrap w:val="0"/>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1-2</w:t>
            </w:r>
          </w:p>
        </w:tc>
        <w:tc>
          <w:tcPr>
            <w:tcW w:w="2818" w:type="dxa"/>
            <w:vMerge w:val="restart"/>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第二课堂学</w:t>
            </w:r>
            <w:r>
              <w:rPr>
                <w:rFonts w:hint="eastAsia" w:ascii="宋体" w:hAnsi="宋体" w:eastAsia="宋体" w:cs="宋体"/>
                <w:kern w:val="0"/>
                <w:sz w:val="18"/>
                <w:szCs w:val="18"/>
                <w:highlight w:val="none"/>
                <w:lang w:val="en-US" w:eastAsia="zh-CN"/>
              </w:rPr>
              <w:t>分不低于1</w:t>
            </w:r>
            <w:r>
              <w:rPr>
                <w:rFonts w:hint="eastAsia" w:ascii="宋体" w:hAnsi="宋体" w:cs="宋体"/>
                <w:kern w:val="0"/>
                <w:sz w:val="18"/>
                <w:szCs w:val="18"/>
                <w:highlight w:val="none"/>
                <w:lang w:val="en-US" w:eastAsia="zh-CN"/>
              </w:rPr>
              <w:t>2</w:t>
            </w:r>
            <w:r>
              <w:rPr>
                <w:rFonts w:hint="eastAsia" w:ascii="宋体" w:hAnsi="宋体" w:eastAsia="宋体" w:cs="宋体"/>
                <w:kern w:val="0"/>
                <w:sz w:val="18"/>
                <w:szCs w:val="18"/>
                <w:highlight w:val="none"/>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298" w:type="dxa"/>
            <w:vMerge w:val="continue"/>
            <w:noWrap w:val="0"/>
            <w:vAlign w:val="center"/>
          </w:tcPr>
          <w:p>
            <w:pPr>
              <w:widowControl/>
              <w:jc w:val="center"/>
              <w:rPr>
                <w:rFonts w:hint="eastAsia" w:ascii="宋体" w:hAnsi="宋体" w:eastAsia="宋体" w:cs="宋体"/>
                <w:kern w:val="0"/>
                <w:sz w:val="18"/>
                <w:szCs w:val="18"/>
                <w:lang w:eastAsia="zh-CN"/>
              </w:rPr>
            </w:pPr>
          </w:p>
        </w:tc>
        <w:tc>
          <w:tcPr>
            <w:tcW w:w="435" w:type="dxa"/>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470" w:type="dxa"/>
            <w:vMerge w:val="restart"/>
            <w:noWrap w:val="0"/>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综合素质拓展</w:t>
            </w:r>
          </w:p>
        </w:tc>
        <w:tc>
          <w:tcPr>
            <w:tcW w:w="426" w:type="dxa"/>
            <w:vMerge w:val="restart"/>
            <w:noWrap w:val="0"/>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选</w:t>
            </w:r>
            <w:r>
              <w:rPr>
                <w:rFonts w:hint="eastAsia" w:ascii="宋体" w:hAnsi="宋体" w:eastAsia="宋体" w:cs="宋体"/>
                <w:color w:val="auto"/>
                <w:kern w:val="0"/>
                <w:sz w:val="18"/>
                <w:szCs w:val="18"/>
                <w:lang w:eastAsia="zh-CN"/>
              </w:rPr>
              <w:t>修课</w:t>
            </w:r>
          </w:p>
        </w:tc>
        <w:tc>
          <w:tcPr>
            <w:tcW w:w="2241" w:type="dxa"/>
            <w:noWrap w:val="0"/>
            <w:vAlign w:val="center"/>
          </w:tcPr>
          <w:p>
            <w:pPr>
              <w:spacing w:line="400" w:lineRule="exact"/>
              <w:jc w:val="center"/>
              <w:rPr>
                <w:rFonts w:hint="eastAsia" w:ascii="宋体" w:hAnsi="宋体" w:eastAsia="宋体" w:cs="宋体"/>
                <w:kern w:val="0"/>
                <w:sz w:val="18"/>
                <w:szCs w:val="18"/>
                <w:lang w:val="en-US" w:eastAsia="zh-CN"/>
              </w:rPr>
            </w:pPr>
            <w:r>
              <w:rPr>
                <w:rFonts w:hint="eastAsia" w:ascii="宋体" w:hAnsi="宋体" w:eastAsia="宋体" w:cs="宋体"/>
                <w:color w:val="000000"/>
                <w:sz w:val="18"/>
                <w:szCs w:val="18"/>
              </w:rPr>
              <w:t>科研活动</w:t>
            </w:r>
          </w:p>
        </w:tc>
        <w:tc>
          <w:tcPr>
            <w:tcW w:w="831" w:type="dxa"/>
            <w:noWrap w:val="0"/>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809" w:type="dxa"/>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w:t>
            </w:r>
          </w:p>
        </w:tc>
        <w:tc>
          <w:tcPr>
            <w:tcW w:w="1039" w:type="dxa"/>
            <w:noWrap w:val="0"/>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w:t>
            </w:r>
          </w:p>
        </w:tc>
        <w:tc>
          <w:tcPr>
            <w:tcW w:w="2818" w:type="dxa"/>
            <w:vMerge w:val="continue"/>
            <w:noWrap w:val="0"/>
            <w:vAlign w:val="center"/>
          </w:tcPr>
          <w:p>
            <w:pPr>
              <w:widowControl/>
              <w:jc w:val="center"/>
              <w:rPr>
                <w:rFonts w:hint="eastAsia"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298" w:type="dxa"/>
            <w:vMerge w:val="continue"/>
            <w:noWrap w:val="0"/>
            <w:vAlign w:val="center"/>
          </w:tcPr>
          <w:p>
            <w:pPr>
              <w:widowControl/>
              <w:jc w:val="center"/>
              <w:rPr>
                <w:rFonts w:hint="eastAsia" w:ascii="宋体" w:hAnsi="宋体" w:eastAsia="宋体" w:cs="宋体"/>
                <w:kern w:val="0"/>
                <w:sz w:val="18"/>
                <w:szCs w:val="18"/>
                <w:lang w:eastAsia="zh-CN"/>
              </w:rPr>
            </w:pPr>
          </w:p>
        </w:tc>
        <w:tc>
          <w:tcPr>
            <w:tcW w:w="435" w:type="dxa"/>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470" w:type="dxa"/>
            <w:vMerge w:val="continue"/>
            <w:noWrap w:val="0"/>
            <w:vAlign w:val="center"/>
          </w:tcPr>
          <w:p>
            <w:pPr>
              <w:widowControl/>
              <w:jc w:val="center"/>
              <w:rPr>
                <w:rFonts w:hint="eastAsia" w:ascii="宋体" w:hAnsi="宋体" w:eastAsia="宋体" w:cs="宋体"/>
                <w:color w:val="auto"/>
                <w:kern w:val="0"/>
                <w:sz w:val="18"/>
                <w:szCs w:val="18"/>
                <w:lang w:val="en-US" w:eastAsia="zh-CN"/>
              </w:rPr>
            </w:pPr>
          </w:p>
        </w:tc>
        <w:tc>
          <w:tcPr>
            <w:tcW w:w="426" w:type="dxa"/>
            <w:vMerge w:val="continue"/>
            <w:noWrap w:val="0"/>
            <w:vAlign w:val="center"/>
          </w:tcPr>
          <w:p>
            <w:pPr>
              <w:widowControl/>
              <w:jc w:val="center"/>
              <w:rPr>
                <w:rFonts w:hint="eastAsia" w:ascii="宋体" w:hAnsi="宋体" w:eastAsia="宋体" w:cs="宋体"/>
                <w:color w:val="auto"/>
                <w:kern w:val="0"/>
                <w:sz w:val="18"/>
                <w:szCs w:val="18"/>
                <w:lang w:eastAsia="zh-CN"/>
              </w:rPr>
            </w:pPr>
          </w:p>
        </w:tc>
        <w:tc>
          <w:tcPr>
            <w:tcW w:w="2241" w:type="dxa"/>
            <w:noWrap w:val="0"/>
            <w:vAlign w:val="center"/>
          </w:tcPr>
          <w:p>
            <w:pPr>
              <w:widowControl/>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专业技能大赛</w:t>
            </w:r>
          </w:p>
        </w:tc>
        <w:tc>
          <w:tcPr>
            <w:tcW w:w="831" w:type="dxa"/>
            <w:noWrap w:val="0"/>
            <w:vAlign w:val="center"/>
          </w:tcPr>
          <w:p>
            <w:pPr>
              <w:widowControl/>
              <w:jc w:val="center"/>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8</w:t>
            </w:r>
          </w:p>
        </w:tc>
        <w:tc>
          <w:tcPr>
            <w:tcW w:w="809" w:type="dxa"/>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039" w:type="dxa"/>
            <w:noWrap w:val="0"/>
            <w:vAlign w:val="center"/>
          </w:tcPr>
          <w:p>
            <w:pPr>
              <w:widowControl/>
              <w:jc w:val="center"/>
              <w:rPr>
                <w:rFonts w:hint="eastAsia" w:ascii="宋体" w:hAnsi="宋体" w:cs="宋体"/>
                <w:kern w:val="0"/>
                <w:sz w:val="18"/>
                <w:szCs w:val="18"/>
                <w:lang w:val="en-US" w:eastAsia="zh-CN"/>
              </w:rPr>
            </w:pPr>
            <w:r>
              <w:rPr>
                <w:rFonts w:hint="eastAsia" w:ascii="宋体" w:hAnsi="宋体" w:eastAsia="宋体" w:cs="宋体"/>
                <w:kern w:val="0"/>
                <w:sz w:val="18"/>
                <w:szCs w:val="18"/>
                <w:lang w:eastAsia="zh-CN"/>
              </w:rPr>
              <w:t>●</w:t>
            </w:r>
          </w:p>
        </w:tc>
        <w:tc>
          <w:tcPr>
            <w:tcW w:w="2818" w:type="dxa"/>
            <w:vMerge w:val="continue"/>
            <w:noWrap w:val="0"/>
            <w:vAlign w:val="center"/>
          </w:tcPr>
          <w:p>
            <w:pPr>
              <w:widowControl/>
              <w:jc w:val="center"/>
              <w:rPr>
                <w:rFonts w:hint="eastAsia"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298" w:type="dxa"/>
            <w:vMerge w:val="continue"/>
            <w:noWrap w:val="0"/>
            <w:vAlign w:val="center"/>
          </w:tcPr>
          <w:p>
            <w:pPr>
              <w:widowControl/>
              <w:jc w:val="center"/>
              <w:rPr>
                <w:rFonts w:hint="eastAsia" w:ascii="宋体" w:hAnsi="宋体" w:eastAsia="宋体" w:cs="宋体"/>
                <w:kern w:val="0"/>
                <w:sz w:val="18"/>
                <w:szCs w:val="18"/>
                <w:lang w:eastAsia="zh-CN"/>
              </w:rPr>
            </w:pPr>
            <w:bookmarkStart w:id="0" w:name="_Toc40996098"/>
            <w:bookmarkStart w:id="1" w:name="_Toc30078"/>
          </w:p>
        </w:tc>
        <w:tc>
          <w:tcPr>
            <w:tcW w:w="435" w:type="dxa"/>
            <w:noWrap w:val="0"/>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470" w:type="dxa"/>
            <w:vMerge w:val="continue"/>
            <w:noWrap w:val="0"/>
            <w:vAlign w:val="center"/>
          </w:tcPr>
          <w:p>
            <w:pPr>
              <w:widowControl/>
              <w:jc w:val="center"/>
              <w:rPr>
                <w:rFonts w:hint="eastAsia" w:ascii="宋体" w:hAnsi="宋体" w:eastAsia="宋体" w:cs="宋体"/>
                <w:color w:val="auto"/>
                <w:kern w:val="0"/>
                <w:sz w:val="18"/>
                <w:szCs w:val="18"/>
                <w:lang w:val="en-US" w:eastAsia="zh-CN"/>
              </w:rPr>
            </w:pPr>
          </w:p>
        </w:tc>
        <w:tc>
          <w:tcPr>
            <w:tcW w:w="426" w:type="dxa"/>
            <w:vMerge w:val="continue"/>
            <w:noWrap w:val="0"/>
            <w:vAlign w:val="center"/>
          </w:tcPr>
          <w:p>
            <w:pPr>
              <w:widowControl/>
              <w:jc w:val="center"/>
              <w:rPr>
                <w:rFonts w:hint="eastAsia" w:ascii="宋体" w:hAnsi="宋体" w:eastAsia="宋体" w:cs="宋体"/>
                <w:color w:val="auto"/>
                <w:kern w:val="0"/>
                <w:sz w:val="18"/>
                <w:szCs w:val="18"/>
                <w:lang w:eastAsia="zh-CN"/>
              </w:rPr>
            </w:pPr>
          </w:p>
        </w:tc>
        <w:tc>
          <w:tcPr>
            <w:tcW w:w="2241" w:type="dxa"/>
            <w:noWrap w:val="0"/>
            <w:vAlign w:val="center"/>
          </w:tcPr>
          <w:p>
            <w:pPr>
              <w:spacing w:line="40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群众性文体竞赛</w:t>
            </w:r>
          </w:p>
          <w:p>
            <w:pPr>
              <w:widowControl/>
              <w:jc w:val="center"/>
              <w:rPr>
                <w:rFonts w:hint="eastAsia" w:ascii="宋体" w:hAnsi="宋体" w:cs="宋体"/>
                <w:kern w:val="0"/>
                <w:sz w:val="18"/>
                <w:szCs w:val="18"/>
                <w:lang w:val="en-US" w:eastAsia="zh-CN"/>
              </w:rPr>
            </w:pPr>
          </w:p>
        </w:tc>
        <w:tc>
          <w:tcPr>
            <w:tcW w:w="831" w:type="dxa"/>
            <w:noWrap w:val="0"/>
            <w:vAlign w:val="center"/>
          </w:tcPr>
          <w:p>
            <w:pPr>
              <w:widowControl/>
              <w:jc w:val="center"/>
              <w:rPr>
                <w:rFonts w:hint="default"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6</w:t>
            </w:r>
          </w:p>
        </w:tc>
        <w:tc>
          <w:tcPr>
            <w:tcW w:w="809" w:type="dxa"/>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039" w:type="dxa"/>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2818" w:type="dxa"/>
            <w:vMerge w:val="continue"/>
            <w:noWrap w:val="0"/>
            <w:vAlign w:val="center"/>
          </w:tcPr>
          <w:p>
            <w:pPr>
              <w:widowControl/>
              <w:jc w:val="center"/>
              <w:rPr>
                <w:rFonts w:hint="eastAsia"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298" w:type="dxa"/>
            <w:vMerge w:val="continue"/>
            <w:noWrap w:val="0"/>
            <w:vAlign w:val="center"/>
          </w:tcPr>
          <w:p>
            <w:pPr>
              <w:widowControl/>
              <w:jc w:val="center"/>
              <w:rPr>
                <w:rFonts w:hint="eastAsia" w:ascii="宋体" w:hAnsi="宋体" w:eastAsia="宋体" w:cs="宋体"/>
                <w:kern w:val="0"/>
                <w:sz w:val="18"/>
                <w:szCs w:val="18"/>
                <w:lang w:eastAsia="zh-CN"/>
              </w:rPr>
            </w:pPr>
          </w:p>
        </w:tc>
        <w:tc>
          <w:tcPr>
            <w:tcW w:w="435" w:type="dxa"/>
            <w:noWrap w:val="0"/>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6</w:t>
            </w:r>
          </w:p>
        </w:tc>
        <w:tc>
          <w:tcPr>
            <w:tcW w:w="470" w:type="dxa"/>
            <w:vMerge w:val="continue"/>
            <w:noWrap w:val="0"/>
            <w:vAlign w:val="center"/>
          </w:tcPr>
          <w:p>
            <w:pPr>
              <w:widowControl/>
              <w:jc w:val="center"/>
              <w:rPr>
                <w:rFonts w:hint="eastAsia" w:ascii="宋体" w:hAnsi="宋体" w:eastAsia="宋体" w:cs="宋体"/>
                <w:color w:val="auto"/>
                <w:kern w:val="0"/>
                <w:sz w:val="18"/>
                <w:szCs w:val="18"/>
                <w:lang w:val="en-US" w:eastAsia="zh-CN"/>
              </w:rPr>
            </w:pPr>
          </w:p>
        </w:tc>
        <w:tc>
          <w:tcPr>
            <w:tcW w:w="426" w:type="dxa"/>
            <w:vMerge w:val="continue"/>
            <w:noWrap w:val="0"/>
            <w:vAlign w:val="center"/>
          </w:tcPr>
          <w:p>
            <w:pPr>
              <w:widowControl/>
              <w:jc w:val="center"/>
              <w:rPr>
                <w:rFonts w:hint="eastAsia" w:ascii="宋体" w:hAnsi="宋体" w:eastAsia="宋体" w:cs="宋体"/>
                <w:color w:val="auto"/>
                <w:kern w:val="0"/>
                <w:sz w:val="18"/>
                <w:szCs w:val="18"/>
                <w:lang w:eastAsia="zh-CN"/>
              </w:rPr>
            </w:pPr>
          </w:p>
        </w:tc>
        <w:tc>
          <w:tcPr>
            <w:tcW w:w="2241" w:type="dxa"/>
            <w:noWrap w:val="0"/>
            <w:vAlign w:val="center"/>
          </w:tcPr>
          <w:p>
            <w:pPr>
              <w:widowControl/>
              <w:jc w:val="center"/>
              <w:rPr>
                <w:rFonts w:hint="eastAsia" w:ascii="宋体" w:hAnsi="宋体" w:cs="宋体"/>
                <w:kern w:val="0"/>
                <w:sz w:val="18"/>
                <w:szCs w:val="18"/>
                <w:lang w:val="en-US" w:eastAsia="zh-CN"/>
              </w:rPr>
            </w:pPr>
            <w:r>
              <w:rPr>
                <w:rFonts w:hint="eastAsia" w:ascii="宋体" w:hAnsi="宋体" w:eastAsia="宋体" w:cs="宋体"/>
                <w:color w:val="000000"/>
                <w:sz w:val="18"/>
                <w:szCs w:val="18"/>
              </w:rPr>
              <w:t>论文或作品发表</w:t>
            </w:r>
          </w:p>
        </w:tc>
        <w:tc>
          <w:tcPr>
            <w:tcW w:w="831" w:type="dxa"/>
            <w:noWrap w:val="0"/>
            <w:vAlign w:val="center"/>
          </w:tcPr>
          <w:p>
            <w:pPr>
              <w:widowControl/>
              <w:jc w:val="center"/>
              <w:rPr>
                <w:rFonts w:hint="default"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809" w:type="dxa"/>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039" w:type="dxa"/>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2818" w:type="dxa"/>
            <w:vMerge w:val="continue"/>
            <w:noWrap w:val="0"/>
            <w:vAlign w:val="center"/>
          </w:tcPr>
          <w:p>
            <w:pPr>
              <w:widowControl/>
              <w:jc w:val="center"/>
              <w:rPr>
                <w:rFonts w:hint="eastAsia"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298" w:type="dxa"/>
            <w:vMerge w:val="continue"/>
            <w:noWrap w:val="0"/>
            <w:vAlign w:val="center"/>
          </w:tcPr>
          <w:p>
            <w:pPr>
              <w:widowControl/>
              <w:jc w:val="center"/>
              <w:rPr>
                <w:rFonts w:hint="eastAsia" w:ascii="宋体" w:hAnsi="宋体" w:eastAsia="宋体" w:cs="宋体"/>
                <w:kern w:val="0"/>
                <w:sz w:val="18"/>
                <w:szCs w:val="18"/>
                <w:lang w:eastAsia="zh-CN"/>
              </w:rPr>
            </w:pPr>
          </w:p>
        </w:tc>
        <w:tc>
          <w:tcPr>
            <w:tcW w:w="435" w:type="dxa"/>
            <w:noWrap w:val="0"/>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7</w:t>
            </w:r>
          </w:p>
        </w:tc>
        <w:tc>
          <w:tcPr>
            <w:tcW w:w="470" w:type="dxa"/>
            <w:vMerge w:val="continue"/>
            <w:noWrap w:val="0"/>
            <w:vAlign w:val="center"/>
          </w:tcPr>
          <w:p>
            <w:pPr>
              <w:widowControl/>
              <w:jc w:val="center"/>
              <w:rPr>
                <w:rFonts w:hint="eastAsia" w:ascii="宋体" w:hAnsi="宋体" w:eastAsia="宋体" w:cs="宋体"/>
                <w:color w:val="auto"/>
                <w:kern w:val="0"/>
                <w:sz w:val="18"/>
                <w:szCs w:val="18"/>
                <w:lang w:val="en-US" w:eastAsia="zh-CN"/>
              </w:rPr>
            </w:pPr>
          </w:p>
        </w:tc>
        <w:tc>
          <w:tcPr>
            <w:tcW w:w="426" w:type="dxa"/>
            <w:vMerge w:val="continue"/>
            <w:noWrap w:val="0"/>
            <w:vAlign w:val="center"/>
          </w:tcPr>
          <w:p>
            <w:pPr>
              <w:widowControl/>
              <w:jc w:val="center"/>
              <w:rPr>
                <w:rFonts w:hint="eastAsia" w:ascii="宋体" w:hAnsi="宋体" w:eastAsia="宋体" w:cs="宋体"/>
                <w:color w:val="auto"/>
                <w:kern w:val="0"/>
                <w:sz w:val="18"/>
                <w:szCs w:val="18"/>
                <w:lang w:eastAsia="zh-CN"/>
              </w:rPr>
            </w:pPr>
          </w:p>
        </w:tc>
        <w:tc>
          <w:tcPr>
            <w:tcW w:w="2241" w:type="dxa"/>
            <w:noWrap w:val="0"/>
            <w:vAlign w:val="center"/>
          </w:tcPr>
          <w:p>
            <w:pPr>
              <w:spacing w:line="400" w:lineRule="exact"/>
              <w:jc w:val="center"/>
              <w:rPr>
                <w:rFonts w:hint="eastAsia" w:ascii="宋体" w:hAnsi="宋体" w:cs="宋体"/>
                <w:kern w:val="0"/>
                <w:sz w:val="18"/>
                <w:szCs w:val="18"/>
                <w:lang w:val="en-US" w:eastAsia="zh-CN"/>
              </w:rPr>
            </w:pPr>
            <w:r>
              <w:rPr>
                <w:rFonts w:hint="eastAsia" w:ascii="宋体" w:hAnsi="宋体" w:eastAsia="宋体" w:cs="宋体"/>
                <w:color w:val="000000"/>
                <w:sz w:val="18"/>
                <w:szCs w:val="18"/>
              </w:rPr>
              <w:t>专利发明</w:t>
            </w:r>
          </w:p>
        </w:tc>
        <w:tc>
          <w:tcPr>
            <w:tcW w:w="831" w:type="dxa"/>
            <w:noWrap w:val="0"/>
            <w:vAlign w:val="center"/>
          </w:tcPr>
          <w:p>
            <w:pPr>
              <w:widowControl/>
              <w:jc w:val="center"/>
              <w:rPr>
                <w:rFonts w:hint="default"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8</w:t>
            </w:r>
          </w:p>
        </w:tc>
        <w:tc>
          <w:tcPr>
            <w:tcW w:w="809" w:type="dxa"/>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039" w:type="dxa"/>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2818" w:type="dxa"/>
            <w:vMerge w:val="continue"/>
            <w:noWrap w:val="0"/>
            <w:vAlign w:val="center"/>
          </w:tcPr>
          <w:p>
            <w:pPr>
              <w:widowControl/>
              <w:jc w:val="center"/>
              <w:rPr>
                <w:rFonts w:hint="eastAsia"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298" w:type="dxa"/>
            <w:vMerge w:val="continue"/>
            <w:noWrap w:val="0"/>
            <w:vAlign w:val="center"/>
          </w:tcPr>
          <w:p>
            <w:pPr>
              <w:widowControl/>
              <w:jc w:val="center"/>
              <w:rPr>
                <w:rFonts w:hint="eastAsia" w:ascii="宋体" w:hAnsi="宋体" w:eastAsia="宋体" w:cs="宋体"/>
                <w:kern w:val="0"/>
                <w:sz w:val="18"/>
                <w:szCs w:val="18"/>
                <w:lang w:eastAsia="zh-CN"/>
              </w:rPr>
            </w:pPr>
          </w:p>
        </w:tc>
        <w:tc>
          <w:tcPr>
            <w:tcW w:w="435" w:type="dxa"/>
            <w:noWrap w:val="0"/>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8</w:t>
            </w:r>
          </w:p>
        </w:tc>
        <w:tc>
          <w:tcPr>
            <w:tcW w:w="470" w:type="dxa"/>
            <w:vMerge w:val="continue"/>
            <w:noWrap w:val="0"/>
            <w:vAlign w:val="center"/>
          </w:tcPr>
          <w:p>
            <w:pPr>
              <w:widowControl/>
              <w:jc w:val="center"/>
              <w:rPr>
                <w:rFonts w:hint="eastAsia" w:ascii="宋体" w:hAnsi="宋体" w:eastAsia="宋体" w:cs="宋体"/>
                <w:color w:val="auto"/>
                <w:kern w:val="0"/>
                <w:sz w:val="18"/>
                <w:szCs w:val="18"/>
                <w:lang w:val="en-US" w:eastAsia="zh-CN"/>
              </w:rPr>
            </w:pPr>
          </w:p>
        </w:tc>
        <w:tc>
          <w:tcPr>
            <w:tcW w:w="426" w:type="dxa"/>
            <w:vMerge w:val="continue"/>
            <w:noWrap w:val="0"/>
            <w:vAlign w:val="center"/>
          </w:tcPr>
          <w:p>
            <w:pPr>
              <w:widowControl/>
              <w:jc w:val="center"/>
              <w:rPr>
                <w:rFonts w:hint="eastAsia" w:ascii="宋体" w:hAnsi="宋体" w:eastAsia="宋体" w:cs="宋体"/>
                <w:color w:val="auto"/>
                <w:kern w:val="0"/>
                <w:sz w:val="18"/>
                <w:szCs w:val="18"/>
                <w:lang w:eastAsia="zh-CN"/>
              </w:rPr>
            </w:pPr>
          </w:p>
        </w:tc>
        <w:tc>
          <w:tcPr>
            <w:tcW w:w="2241" w:type="dxa"/>
            <w:noWrap w:val="0"/>
            <w:vAlign w:val="center"/>
          </w:tcPr>
          <w:p>
            <w:pPr>
              <w:spacing w:line="400" w:lineRule="exact"/>
              <w:jc w:val="center"/>
              <w:rPr>
                <w:rFonts w:hint="eastAsia" w:ascii="宋体" w:hAnsi="宋体" w:cs="宋体"/>
                <w:kern w:val="0"/>
                <w:sz w:val="18"/>
                <w:szCs w:val="18"/>
                <w:lang w:val="en-US" w:eastAsia="zh-CN"/>
              </w:rPr>
            </w:pPr>
            <w:r>
              <w:rPr>
                <w:rFonts w:hint="eastAsia" w:ascii="宋体" w:hAnsi="宋体" w:eastAsia="宋体" w:cs="宋体"/>
                <w:color w:val="000000"/>
                <w:sz w:val="18"/>
                <w:szCs w:val="18"/>
              </w:rPr>
              <w:t>社团活动</w:t>
            </w:r>
          </w:p>
        </w:tc>
        <w:tc>
          <w:tcPr>
            <w:tcW w:w="831" w:type="dxa"/>
            <w:noWrap w:val="0"/>
            <w:vAlign w:val="center"/>
          </w:tcPr>
          <w:p>
            <w:pPr>
              <w:widowControl/>
              <w:jc w:val="center"/>
              <w:rPr>
                <w:rFonts w:hint="default"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4</w:t>
            </w:r>
          </w:p>
        </w:tc>
        <w:tc>
          <w:tcPr>
            <w:tcW w:w="809" w:type="dxa"/>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039" w:type="dxa"/>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2818" w:type="dxa"/>
            <w:vMerge w:val="continue"/>
            <w:noWrap w:val="0"/>
            <w:vAlign w:val="center"/>
          </w:tcPr>
          <w:p>
            <w:pPr>
              <w:widowControl/>
              <w:jc w:val="center"/>
              <w:rPr>
                <w:rFonts w:hint="eastAsia"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298" w:type="dxa"/>
            <w:vMerge w:val="continue"/>
            <w:noWrap w:val="0"/>
            <w:vAlign w:val="center"/>
          </w:tcPr>
          <w:p>
            <w:pPr>
              <w:widowControl/>
              <w:jc w:val="center"/>
              <w:rPr>
                <w:rFonts w:hint="eastAsia" w:ascii="宋体" w:hAnsi="宋体" w:eastAsia="宋体" w:cs="宋体"/>
                <w:kern w:val="0"/>
                <w:sz w:val="18"/>
                <w:szCs w:val="18"/>
                <w:lang w:eastAsia="zh-CN"/>
              </w:rPr>
            </w:pPr>
          </w:p>
        </w:tc>
        <w:tc>
          <w:tcPr>
            <w:tcW w:w="435" w:type="dxa"/>
            <w:noWrap w:val="0"/>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9</w:t>
            </w:r>
          </w:p>
        </w:tc>
        <w:tc>
          <w:tcPr>
            <w:tcW w:w="470" w:type="dxa"/>
            <w:vMerge w:val="continue"/>
            <w:noWrap w:val="0"/>
            <w:vAlign w:val="center"/>
          </w:tcPr>
          <w:p>
            <w:pPr>
              <w:widowControl/>
              <w:jc w:val="center"/>
              <w:rPr>
                <w:rFonts w:hint="eastAsia" w:ascii="宋体" w:hAnsi="宋体" w:eastAsia="宋体" w:cs="宋体"/>
                <w:color w:val="auto"/>
                <w:kern w:val="0"/>
                <w:sz w:val="18"/>
                <w:szCs w:val="18"/>
                <w:lang w:val="en-US" w:eastAsia="zh-CN"/>
              </w:rPr>
            </w:pPr>
          </w:p>
        </w:tc>
        <w:tc>
          <w:tcPr>
            <w:tcW w:w="426" w:type="dxa"/>
            <w:vMerge w:val="continue"/>
            <w:noWrap w:val="0"/>
            <w:vAlign w:val="center"/>
          </w:tcPr>
          <w:p>
            <w:pPr>
              <w:widowControl/>
              <w:jc w:val="center"/>
              <w:rPr>
                <w:rFonts w:hint="eastAsia" w:ascii="宋体" w:hAnsi="宋体" w:eastAsia="宋体" w:cs="宋体"/>
                <w:color w:val="auto"/>
                <w:kern w:val="0"/>
                <w:sz w:val="18"/>
                <w:szCs w:val="18"/>
                <w:lang w:eastAsia="zh-CN"/>
              </w:rPr>
            </w:pPr>
          </w:p>
        </w:tc>
        <w:tc>
          <w:tcPr>
            <w:tcW w:w="2241" w:type="dxa"/>
            <w:noWrap w:val="0"/>
            <w:vAlign w:val="center"/>
          </w:tcPr>
          <w:p>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等级考试</w:t>
            </w:r>
          </w:p>
        </w:tc>
        <w:tc>
          <w:tcPr>
            <w:tcW w:w="831" w:type="dxa"/>
            <w:noWrap w:val="0"/>
            <w:vAlign w:val="center"/>
          </w:tcPr>
          <w:p>
            <w:pPr>
              <w:widowControl/>
              <w:jc w:val="center"/>
              <w:rPr>
                <w:rFonts w:hint="default"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3</w:t>
            </w:r>
          </w:p>
        </w:tc>
        <w:tc>
          <w:tcPr>
            <w:tcW w:w="809" w:type="dxa"/>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039" w:type="dxa"/>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2818" w:type="dxa"/>
            <w:vMerge w:val="continue"/>
            <w:noWrap w:val="0"/>
            <w:vAlign w:val="center"/>
          </w:tcPr>
          <w:p>
            <w:pPr>
              <w:widowControl/>
              <w:jc w:val="center"/>
              <w:rPr>
                <w:rFonts w:hint="eastAsia" w:ascii="宋体" w:hAnsi="宋体" w:eastAsia="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298" w:type="dxa"/>
            <w:vMerge w:val="continue"/>
            <w:noWrap w:val="0"/>
            <w:vAlign w:val="center"/>
          </w:tcPr>
          <w:p>
            <w:pPr>
              <w:widowControl/>
              <w:jc w:val="center"/>
              <w:rPr>
                <w:rFonts w:hint="eastAsia" w:ascii="宋体" w:hAnsi="宋体" w:eastAsia="宋体" w:cs="宋体"/>
                <w:kern w:val="0"/>
                <w:sz w:val="18"/>
                <w:szCs w:val="18"/>
                <w:lang w:eastAsia="zh-CN"/>
              </w:rPr>
            </w:pPr>
          </w:p>
        </w:tc>
        <w:tc>
          <w:tcPr>
            <w:tcW w:w="435" w:type="dxa"/>
            <w:noWrap w:val="0"/>
            <w:vAlign w:val="center"/>
          </w:tcPr>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470" w:type="dxa"/>
            <w:vMerge w:val="continue"/>
            <w:noWrap w:val="0"/>
            <w:vAlign w:val="center"/>
          </w:tcPr>
          <w:p>
            <w:pPr>
              <w:widowControl/>
              <w:jc w:val="center"/>
              <w:rPr>
                <w:rFonts w:hint="eastAsia" w:ascii="宋体" w:hAnsi="宋体" w:eastAsia="宋体" w:cs="宋体"/>
                <w:color w:val="auto"/>
                <w:kern w:val="0"/>
                <w:sz w:val="18"/>
                <w:szCs w:val="18"/>
                <w:lang w:val="en-US" w:eastAsia="zh-CN"/>
              </w:rPr>
            </w:pPr>
          </w:p>
        </w:tc>
        <w:tc>
          <w:tcPr>
            <w:tcW w:w="426" w:type="dxa"/>
            <w:vMerge w:val="continue"/>
            <w:noWrap w:val="0"/>
            <w:vAlign w:val="center"/>
          </w:tcPr>
          <w:p>
            <w:pPr>
              <w:widowControl/>
              <w:jc w:val="center"/>
              <w:rPr>
                <w:rFonts w:hint="eastAsia" w:ascii="宋体" w:hAnsi="宋体" w:eastAsia="宋体" w:cs="宋体"/>
                <w:color w:val="auto"/>
                <w:kern w:val="0"/>
                <w:sz w:val="18"/>
                <w:szCs w:val="18"/>
                <w:lang w:eastAsia="zh-CN"/>
              </w:rPr>
            </w:pPr>
          </w:p>
        </w:tc>
        <w:tc>
          <w:tcPr>
            <w:tcW w:w="2241" w:type="dxa"/>
            <w:noWrap w:val="0"/>
            <w:vAlign w:val="center"/>
          </w:tcPr>
          <w:p>
            <w:pPr>
              <w:spacing w:line="40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资格证书</w:t>
            </w:r>
          </w:p>
        </w:tc>
        <w:tc>
          <w:tcPr>
            <w:tcW w:w="831" w:type="dxa"/>
            <w:noWrap w:val="0"/>
            <w:vAlign w:val="center"/>
          </w:tcPr>
          <w:p>
            <w:pPr>
              <w:widowControl/>
              <w:jc w:val="center"/>
              <w:rPr>
                <w:rFonts w:hint="default"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3</w:t>
            </w:r>
          </w:p>
        </w:tc>
        <w:tc>
          <w:tcPr>
            <w:tcW w:w="809" w:type="dxa"/>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1039" w:type="dxa"/>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2818" w:type="dxa"/>
            <w:vMerge w:val="continue"/>
            <w:noWrap w:val="0"/>
            <w:vAlign w:val="center"/>
          </w:tcPr>
          <w:p>
            <w:pPr>
              <w:widowControl/>
              <w:jc w:val="center"/>
              <w:rPr>
                <w:rFonts w:hint="eastAsia" w:ascii="宋体" w:hAnsi="宋体" w:eastAsia="宋体" w:cs="宋体"/>
                <w:kern w:val="0"/>
                <w:sz w:val="18"/>
                <w:szCs w:val="18"/>
              </w:rPr>
            </w:pPr>
          </w:p>
        </w:tc>
      </w:tr>
      <w:bookmarkEnd w:id="0"/>
      <w:bookmarkEnd w:id="1"/>
    </w:tbl>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lang w:val="en-US" w:eastAsia="zh-CN"/>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20"/>
        <w:textAlignment w:val="auto"/>
        <w:rPr>
          <w:rFonts w:hint="default" w:ascii="Times New Roman" w:hAnsi="Times New Roman" w:eastAsia="宋体" w:cs="Times New Roman"/>
          <w:b w:val="0"/>
          <w:bCs w:val="0"/>
          <w:i w:val="0"/>
          <w:iCs w:val="0"/>
          <w:caps w:val="0"/>
          <w:color w:val="000000"/>
          <w:spacing w:val="0"/>
          <w:sz w:val="24"/>
          <w:szCs w:val="24"/>
        </w:rPr>
      </w:pPr>
      <w:r>
        <w:rPr>
          <w:rFonts w:hint="default" w:ascii="Times New Roman" w:hAnsi="Times New Roman" w:eastAsia="宋体" w:cs="Times New Roman"/>
          <w:b w:val="0"/>
          <w:bCs w:val="0"/>
          <w:i w:val="0"/>
          <w:iCs w:val="0"/>
          <w:caps w:val="0"/>
          <w:color w:val="000000"/>
          <w:spacing w:val="0"/>
          <w:sz w:val="24"/>
          <w:szCs w:val="24"/>
        </w:rPr>
        <w:t>（二）对本专业202</w:t>
      </w:r>
      <w:r>
        <w:rPr>
          <w:rFonts w:hint="default" w:ascii="Times New Roman" w:hAnsi="Times New Roman" w:eastAsia="宋体" w:cs="Times New Roman"/>
          <w:b w:val="0"/>
          <w:bCs w:val="0"/>
          <w:i w:val="0"/>
          <w:iCs w:val="0"/>
          <w:caps w:val="0"/>
          <w:color w:val="000000"/>
          <w:spacing w:val="0"/>
          <w:sz w:val="24"/>
          <w:szCs w:val="24"/>
          <w:lang w:val="en-US" w:eastAsia="zh-CN"/>
        </w:rPr>
        <w:t>3</w:t>
      </w:r>
      <w:r>
        <w:rPr>
          <w:rFonts w:hint="default" w:ascii="Times New Roman" w:hAnsi="Times New Roman" w:eastAsia="宋体" w:cs="Times New Roman"/>
          <w:b w:val="0"/>
          <w:bCs w:val="0"/>
          <w:i w:val="0"/>
          <w:iCs w:val="0"/>
          <w:caps w:val="0"/>
          <w:color w:val="000000"/>
          <w:spacing w:val="0"/>
          <w:sz w:val="24"/>
          <w:szCs w:val="24"/>
        </w:rPr>
        <w:t>级人才培养方案编制的建议</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480" w:firstLineChars="200"/>
        <w:jc w:val="left"/>
        <w:textAlignment w:val="auto"/>
        <w:rPr>
          <w:rFonts w:hint="default" w:ascii="Times New Roman" w:hAnsi="Times New Roman" w:cs="Times New Roman"/>
        </w:rPr>
      </w:pPr>
      <w:r>
        <w:rPr>
          <w:rFonts w:hint="default" w:ascii="Times New Roman" w:hAnsi="Times New Roman" w:cs="Times New Roman"/>
        </w:rPr>
        <w:t>在实践教学</w:t>
      </w:r>
      <w:r>
        <w:rPr>
          <w:rFonts w:hint="default" w:ascii="Times New Roman" w:hAnsi="Times New Roman" w:cs="Times New Roman"/>
          <w:lang w:val="en-US" w:eastAsia="zh-CN"/>
        </w:rPr>
        <w:t>环节</w:t>
      </w:r>
      <w:r>
        <w:rPr>
          <w:rFonts w:hint="default" w:ascii="Times New Roman" w:hAnsi="Times New Roman" w:cs="Times New Roman"/>
        </w:rPr>
        <w:t>主要采用实训和实习教学</w:t>
      </w:r>
      <w:r>
        <w:rPr>
          <w:rFonts w:hint="default" w:ascii="Times New Roman" w:hAnsi="Times New Roman" w:cs="Times New Roman"/>
          <w:lang w:val="en-US" w:eastAsia="zh-CN"/>
        </w:rPr>
        <w:t>结合，</w:t>
      </w:r>
      <w:r>
        <w:rPr>
          <w:rFonts w:hint="default" w:ascii="Times New Roman" w:hAnsi="Times New Roman" w:cs="Times New Roman"/>
        </w:rPr>
        <w:t>借助集教与学、学与练、校内与校外、课内与课外为一体的实践教学基地首先通过实</w:t>
      </w:r>
      <w:r>
        <w:rPr>
          <w:rFonts w:hint="default" w:ascii="Times New Roman" w:hAnsi="Times New Roman" w:cs="Times New Roman"/>
          <w:lang w:val="en-US" w:eastAsia="zh-CN"/>
        </w:rPr>
        <w:t>课程实训</w:t>
      </w:r>
      <w:r>
        <w:rPr>
          <w:rFonts w:hint="default" w:ascii="Times New Roman" w:hAnsi="Times New Roman" w:cs="Times New Roman"/>
        </w:rPr>
        <w:t>对学生所需的理论知识进行验证和巩固使他们获得感性认识掌握数据处理等基本方法；然后组织学生参加</w:t>
      </w:r>
      <w:r>
        <w:rPr>
          <w:rFonts w:hint="default" w:ascii="Times New Roman" w:hAnsi="Times New Roman" w:cs="Times New Roman"/>
          <w:lang w:val="en-US" w:eastAsia="zh-CN"/>
        </w:rPr>
        <w:t>岗位</w:t>
      </w:r>
      <w:r>
        <w:rPr>
          <w:rFonts w:hint="default" w:ascii="Times New Roman" w:hAnsi="Times New Roman" w:cs="Times New Roman"/>
        </w:rPr>
        <w:t>实训的教学感悟和模拟训练使学生初步掌握操作技能、专业技术获得对职业岗位的初步认识；最后组织学生到企业参加生产</w:t>
      </w:r>
      <w:r>
        <w:rPr>
          <w:rFonts w:hint="default" w:ascii="Times New Roman" w:hAnsi="Times New Roman" w:cs="Times New Roman"/>
          <w:lang w:val="en-US" w:eastAsia="zh-CN"/>
        </w:rPr>
        <w:t>岗位</w:t>
      </w:r>
      <w:r>
        <w:rPr>
          <w:rFonts w:hint="default" w:ascii="Times New Roman" w:hAnsi="Times New Roman" w:cs="Times New Roman"/>
        </w:rPr>
        <w:t>实习进一步提高他们的专业技术应用能力和职业综合能力从而实现高职教育造就复合型高素质技术技能人才的培养目标。</w:t>
      </w:r>
    </w:p>
    <w:sectPr>
      <w:headerReference r:id="rId3" w:type="default"/>
      <w:footerReference r:id="rId4" w:type="default"/>
      <w:pgSz w:w="11906" w:h="16838"/>
      <w:pgMar w:top="1134" w:right="1134" w:bottom="1134" w:left="113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pPr>
    <w:r>
      <w:drawing>
        <wp:anchor distT="0" distB="0" distL="114300" distR="114300" simplePos="0" relativeHeight="251659264" behindDoc="0" locked="0" layoutInCell="1" allowOverlap="1">
          <wp:simplePos x="0" y="0"/>
          <wp:positionH relativeFrom="page">
            <wp:posOffset>778510</wp:posOffset>
          </wp:positionH>
          <wp:positionV relativeFrom="page">
            <wp:posOffset>340360</wp:posOffset>
          </wp:positionV>
          <wp:extent cx="1461770" cy="315595"/>
          <wp:effectExtent l="0" t="0" r="5080" b="8255"/>
          <wp:wrapNone/>
          <wp:docPr id="1"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模式81" descr="小的"/>
                  <pic:cNvPicPr>
                    <a:picLocks noChangeAspect="1"/>
                  </pic:cNvPicPr>
                </pic:nvPicPr>
                <pic:blipFill>
                  <a:blip r:embed="rId1"/>
                  <a:stretch>
                    <a:fillRect/>
                  </a:stretch>
                </pic:blipFill>
                <pic:spPr>
                  <a:xfrm>
                    <a:off x="0" y="0"/>
                    <a:ext cx="1461770" cy="3155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883B07"/>
    <w:multiLevelType w:val="singleLevel"/>
    <w:tmpl w:val="89883B07"/>
    <w:lvl w:ilvl="0" w:tentative="0">
      <w:start w:val="4"/>
      <w:numFmt w:val="chineseCounting"/>
      <w:suff w:val="nothing"/>
      <w:lvlText w:val="%1、"/>
      <w:lvlJc w:val="left"/>
      <w:rPr>
        <w:rFonts w:hint="eastAsia"/>
      </w:rPr>
    </w:lvl>
  </w:abstractNum>
  <w:abstractNum w:abstractNumId="1">
    <w:nsid w:val="316F9F84"/>
    <w:multiLevelType w:val="singleLevel"/>
    <w:tmpl w:val="316F9F84"/>
    <w:lvl w:ilvl="0" w:tentative="0">
      <w:start w:val="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MzcxMGIwNGUwNjUzY2YwNTRkZGEyOTE1OTNiMmQifQ=="/>
  </w:docVars>
  <w:rsids>
    <w:rsidRoot w:val="00000000"/>
    <w:rsid w:val="007820D6"/>
    <w:rsid w:val="03C14F43"/>
    <w:rsid w:val="05675006"/>
    <w:rsid w:val="07405333"/>
    <w:rsid w:val="0895699D"/>
    <w:rsid w:val="0CD5020A"/>
    <w:rsid w:val="0DA12CDB"/>
    <w:rsid w:val="0F2806C6"/>
    <w:rsid w:val="12E25078"/>
    <w:rsid w:val="14632E40"/>
    <w:rsid w:val="155467B9"/>
    <w:rsid w:val="1B4257FA"/>
    <w:rsid w:val="1B8566C7"/>
    <w:rsid w:val="1DE21116"/>
    <w:rsid w:val="24417A2E"/>
    <w:rsid w:val="24854B27"/>
    <w:rsid w:val="24C35CD4"/>
    <w:rsid w:val="255A0F8D"/>
    <w:rsid w:val="269A2D97"/>
    <w:rsid w:val="272A0E33"/>
    <w:rsid w:val="2A7E7D22"/>
    <w:rsid w:val="2B084190"/>
    <w:rsid w:val="2DF93C93"/>
    <w:rsid w:val="3104002D"/>
    <w:rsid w:val="363A43BD"/>
    <w:rsid w:val="3798060A"/>
    <w:rsid w:val="37DB06A2"/>
    <w:rsid w:val="3842654A"/>
    <w:rsid w:val="386A081F"/>
    <w:rsid w:val="389F3007"/>
    <w:rsid w:val="3B3E0985"/>
    <w:rsid w:val="3C0F1357"/>
    <w:rsid w:val="3EAA6BBA"/>
    <w:rsid w:val="430528F5"/>
    <w:rsid w:val="438463F7"/>
    <w:rsid w:val="45137030"/>
    <w:rsid w:val="459B4F7E"/>
    <w:rsid w:val="45DD5596"/>
    <w:rsid w:val="46163D24"/>
    <w:rsid w:val="48853D17"/>
    <w:rsid w:val="50CE50A6"/>
    <w:rsid w:val="58BE1B34"/>
    <w:rsid w:val="5AA65046"/>
    <w:rsid w:val="6D0B116A"/>
    <w:rsid w:val="6F835874"/>
    <w:rsid w:val="7A041C5F"/>
    <w:rsid w:val="7A3308A2"/>
    <w:rsid w:val="7ACA1650"/>
    <w:rsid w:val="7CF217C7"/>
    <w:rsid w:val="7F5942E1"/>
    <w:rsid w:val="7F8F0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149"/>
      <w:ind w:left="220" w:right="357" w:firstLine="479"/>
    </w:pPr>
    <w:rPr>
      <w:rFonts w:ascii="宋体" w:hAnsi="宋体" w:eastAsia="宋体" w:cs="宋体"/>
      <w:sz w:val="24"/>
      <w:szCs w:val="24"/>
      <w:lang w:val="zh-CN" w:eastAsia="zh-CN" w:bidi="zh-CN"/>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font51"/>
    <w:qFormat/>
    <w:uiPriority w:val="0"/>
    <w:rPr>
      <w:rFonts w:hint="default" w:ascii="仿宋_GB2312" w:eastAsia="仿宋_GB2312" w:cs="仿宋_GB2312"/>
      <w:color w:val="000000"/>
      <w:sz w:val="21"/>
      <w:szCs w:val="21"/>
      <w:u w:val="none"/>
    </w:rPr>
  </w:style>
  <w:style w:type="character" w:customStyle="1" w:styleId="9">
    <w:name w:val="font01"/>
    <w:basedOn w:val="7"/>
    <w:qFormat/>
    <w:uiPriority w:val="0"/>
    <w:rPr>
      <w:rFonts w:hint="default"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4797</Words>
  <Characters>4968</Characters>
  <Lines>0</Lines>
  <Paragraphs>0</Paragraphs>
  <TotalTime>2</TotalTime>
  <ScaleCrop>false</ScaleCrop>
  <LinksUpToDate>false</LinksUpToDate>
  <CharactersWithSpaces>4979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jwc</dc:creator>
  <cp:lastModifiedBy>Administrator</cp:lastModifiedBy>
  <cp:lastPrinted>2023-05-30T07:23:06Z</cp:lastPrinted>
  <dcterms:modified xsi:type="dcterms:W3CDTF">2023-05-30T07:23:13Z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44A6B7DD8E6A4D10BCADA50FF926CDC6_13</vt:lpwstr>
  </property>
</Properties>
</file>